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480" w:lineRule="exact"/>
        <w:ind w:firstLine="883" w:firstLineChars="200"/>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成都文理学院本科毕业论文（设计）质量标准</w:t>
      </w:r>
    </w:p>
    <w:p>
      <w:pPr>
        <w:keepNext w:val="0"/>
        <w:keepLines w:val="0"/>
        <w:pageBreakBefore w:val="0"/>
        <w:widowControl w:val="0"/>
        <w:kinsoku/>
        <w:wordWrap/>
        <w:overflowPunct/>
        <w:topLinePunct w:val="0"/>
        <w:autoSpaceDE w:val="0"/>
        <w:autoSpaceDN w:val="0"/>
        <w:bidi w:val="0"/>
        <w:adjustRightInd/>
        <w:snapToGrid/>
        <w:spacing w:line="480" w:lineRule="exact"/>
        <w:ind w:firstLine="883" w:firstLineChars="200"/>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毕业论文（设计）是本科院校实现人才培养目标的综合性实践教学环节，是各专业人才培养方案的重要组成部分。它是以培养学生综合应用所学理论知识和基本技能、分析解决实际问题能力、独立工作能力和创新能力为目标，是对学生知识、能力和素质综合考核的重要方式。学生通过完成毕业论文（设计）获得从事专业工作所必需的基本训练和科学研究工作的初步能力。</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rPr>
      </w:pPr>
      <w:bookmarkStart w:id="0" w:name="_bookmark45"/>
      <w:bookmarkEnd w:id="0"/>
      <w:r>
        <w:rPr>
          <w:rFonts w:hint="eastAsia" w:ascii="仿宋" w:hAnsi="仿宋" w:eastAsia="仿宋" w:cs="仿宋"/>
          <w:sz w:val="28"/>
          <w:szCs w:val="28"/>
        </w:rPr>
        <w:t>（一）本科毕业论文（设计）基本要求</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严格把好选题关。选题应符合专业培养目标，体现理论联系实际的原则，选题的范围和深度应符合学生的实际情况，要尽可能结合学生的特长和就业的需要；原则上每位学生独立完成一个课题。</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选题重点结合学生校内外实践积累，以来源实践并解决实践中的问题为导向，选择应用型课题为主，降低纯理论研究的比例。一般来源以指导教师自选课题、参与的教学科研项目、结合生产实际、实习单位课题、参与的社会实践项目等为主。</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加强过程管理，强化毕业论文（设计）教学全程化指导，建立起教、学、管、评的联动机制，对毕业论文（设计）的教学过程的实施有效的质量监控，确保毕业论文（设计）的毕业要求的达成以及培养目标的实现。</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rPr>
      </w:pPr>
      <w:bookmarkStart w:id="1" w:name="_bookmark46"/>
      <w:bookmarkEnd w:id="1"/>
      <w:r>
        <w:rPr>
          <w:rFonts w:hint="eastAsia" w:ascii="仿宋" w:hAnsi="仿宋" w:eastAsia="仿宋" w:cs="仿宋"/>
          <w:sz w:val="28"/>
          <w:szCs w:val="28"/>
        </w:rPr>
        <w:t>（二）本科毕业论文（设计）质量标准</w:t>
      </w:r>
    </w:p>
    <w:tbl>
      <w:tblPr>
        <w:tblStyle w:val="3"/>
        <w:tblpPr w:leftFromText="180" w:rightFromText="180" w:vertAnchor="text" w:horzAnchor="page" w:tblpX="1806" w:tblpY="225"/>
        <w:tblOverlap w:val="never"/>
        <w:tblW w:w="861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3"/>
        <w:gridCol w:w="990"/>
        <w:gridCol w:w="68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73" w:type="dxa"/>
            <w:tcBorders>
              <w:right w:val="single" w:color="000000" w:sz="4" w:space="0"/>
            </w:tcBorders>
            <w:noWrap w:val="0"/>
            <w:vAlign w:val="center"/>
          </w:tcPr>
          <w:p>
            <w:pPr>
              <w:jc w:val="center"/>
              <w:rPr>
                <w:rFonts w:hint="eastAsia" w:ascii="仿宋" w:hAnsi="仿宋" w:eastAsia="仿宋" w:cs="仿宋"/>
                <w:b/>
                <w:bCs/>
              </w:rPr>
            </w:pPr>
            <w:r>
              <w:rPr>
                <w:rFonts w:hint="eastAsia" w:ascii="仿宋" w:hAnsi="仿宋" w:eastAsia="仿宋" w:cs="仿宋"/>
                <w:b/>
                <w:bCs/>
              </w:rPr>
              <w:t>一级指标</w:t>
            </w:r>
          </w:p>
        </w:tc>
        <w:tc>
          <w:tcPr>
            <w:tcW w:w="990" w:type="dxa"/>
            <w:tcBorders>
              <w:left w:val="single" w:color="000000" w:sz="4" w:space="0"/>
            </w:tcBorders>
            <w:noWrap w:val="0"/>
            <w:vAlign w:val="center"/>
          </w:tcPr>
          <w:p>
            <w:pPr>
              <w:jc w:val="center"/>
              <w:rPr>
                <w:rFonts w:hint="eastAsia" w:ascii="仿宋" w:hAnsi="仿宋" w:eastAsia="仿宋" w:cs="仿宋"/>
                <w:b/>
                <w:bCs/>
              </w:rPr>
            </w:pPr>
            <w:r>
              <w:rPr>
                <w:rFonts w:hint="eastAsia" w:ascii="仿宋" w:hAnsi="仿宋" w:eastAsia="仿宋" w:cs="仿宋"/>
                <w:b/>
                <w:bCs/>
              </w:rPr>
              <w:t>二级指标</w:t>
            </w:r>
          </w:p>
        </w:tc>
        <w:tc>
          <w:tcPr>
            <w:tcW w:w="6849" w:type="dxa"/>
            <w:noWrap w:val="0"/>
            <w:vAlign w:val="center"/>
          </w:tcPr>
          <w:p>
            <w:pPr>
              <w:jc w:val="center"/>
              <w:rPr>
                <w:rFonts w:hint="eastAsia" w:ascii="仿宋" w:hAnsi="仿宋" w:eastAsia="仿宋" w:cs="仿宋"/>
                <w:b/>
                <w:bCs/>
              </w:rPr>
            </w:pPr>
            <w:r>
              <w:rPr>
                <w:rFonts w:hint="eastAsia" w:ascii="仿宋" w:hAnsi="仿宋" w:eastAsia="仿宋" w:cs="仿宋"/>
                <w:b/>
                <w:bCs/>
              </w:rPr>
              <w:t>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5" w:hRule="atLeast"/>
        </w:trPr>
        <w:tc>
          <w:tcPr>
            <w:tcW w:w="773" w:type="dxa"/>
            <w:vMerge w:val="restart"/>
            <w:tcBorders>
              <w:bottom w:val="single" w:color="000000" w:sz="4" w:space="0"/>
              <w:right w:val="single" w:color="000000" w:sz="4" w:space="0"/>
            </w:tcBorders>
            <w:noWrap w:val="0"/>
            <w:vAlign w:val="center"/>
          </w:tcPr>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r>
              <w:rPr>
                <w:rFonts w:hint="eastAsia" w:ascii="仿宋" w:hAnsi="仿宋" w:eastAsia="仿宋" w:cs="仿宋"/>
              </w:rPr>
              <w:t>1.计划与准备</w:t>
            </w:r>
          </w:p>
        </w:tc>
        <w:tc>
          <w:tcPr>
            <w:tcW w:w="990" w:type="dxa"/>
            <w:tcBorders>
              <w:left w:val="single" w:color="000000" w:sz="4" w:space="0"/>
              <w:bottom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1.1 工作计划</w:t>
            </w:r>
          </w:p>
        </w:tc>
        <w:tc>
          <w:tcPr>
            <w:tcW w:w="6849" w:type="dxa"/>
            <w:tcBorders>
              <w:bottom w:val="single" w:color="000000" w:sz="4" w:space="0"/>
            </w:tcBorders>
            <w:noWrap w:val="0"/>
            <w:vAlign w:val="center"/>
          </w:tcPr>
          <w:p>
            <w:pPr>
              <w:ind w:firstLine="440" w:firstLineChars="200"/>
              <w:jc w:val="both"/>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根据学校毕业论文(设计)工作管理办法，各二级学院应成立毕业论文工作小组，精心准备、周密布置、制定本学院年度毕业论文（设计）工作计划，按时间节点科学规划好每年的毕业论文（设计）工作。</w:t>
            </w:r>
          </w:p>
          <w:p>
            <w:pPr>
              <w:ind w:firstLine="440" w:firstLineChars="200"/>
              <w:jc w:val="both"/>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各专业教研室组织开展本专业毕业论文（设计）工作。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9" w:hRule="atLeast"/>
        </w:trPr>
        <w:tc>
          <w:tcPr>
            <w:tcW w:w="773" w:type="dxa"/>
            <w:vMerge w:val="continue"/>
            <w:tcBorders>
              <w:top w:val="nil"/>
              <w:bottom w:val="single" w:color="000000" w:sz="4" w:space="0"/>
              <w:right w:val="single" w:color="000000" w:sz="4" w:space="0"/>
            </w:tcBorders>
            <w:noWrap w:val="0"/>
            <w:vAlign w:val="center"/>
          </w:tcPr>
          <w:p>
            <w:pPr>
              <w:jc w:val="both"/>
              <w:rPr>
                <w:rFonts w:hint="eastAsia" w:ascii="仿宋" w:hAnsi="仿宋" w:eastAsia="仿宋" w:cs="仿宋"/>
              </w:rPr>
            </w:pPr>
          </w:p>
        </w:tc>
        <w:tc>
          <w:tcPr>
            <w:tcW w:w="990" w:type="dxa"/>
            <w:tcBorders>
              <w:top w:val="single" w:color="000000" w:sz="4" w:space="0"/>
              <w:left w:val="single" w:color="000000" w:sz="4" w:space="0"/>
              <w:bottom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1.2 导师遴选</w:t>
            </w:r>
          </w:p>
        </w:tc>
        <w:tc>
          <w:tcPr>
            <w:tcW w:w="6849" w:type="dxa"/>
            <w:tcBorders>
              <w:top w:val="single" w:color="000000" w:sz="4" w:space="0"/>
              <w:bottom w:val="single" w:color="000000" w:sz="4" w:space="0"/>
            </w:tcBorders>
            <w:noWrap w:val="0"/>
            <w:vAlign w:val="center"/>
          </w:tcPr>
          <w:p>
            <w:pPr>
              <w:ind w:firstLine="440" w:firstLineChars="200"/>
              <w:jc w:val="both"/>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各二级学院应根据预计毕业人数遴选充足、具有中级以上职称(含中级)、有一定科研能力和学术水平、实践经验和教学经验丰富、工作认真负责的校内（外）教师担任指导教师。指导教师应高度重视教学工作，能因材施教，具有一定指导经验，善于启发和激励学生。</w:t>
            </w:r>
          </w:p>
          <w:p>
            <w:pPr>
              <w:ind w:firstLine="440" w:firstLineChars="200"/>
              <w:jc w:val="both"/>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指导教师与学生的比例原则上不超过1:8。</w:t>
            </w:r>
          </w:p>
          <w:p>
            <w:pPr>
              <w:ind w:firstLine="440" w:firstLineChars="200"/>
              <w:jc w:val="both"/>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对初次担任本校毕业论文（设计）指导的教师，专业教研室要指定专人进行帮助，定期检查和指导。</w:t>
            </w:r>
          </w:p>
          <w:p>
            <w:pPr>
              <w:ind w:firstLine="440" w:firstLineChars="200"/>
              <w:jc w:val="both"/>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对在校外实习基地或单位进行的论文课题，可聘请校外单位具有中级及以上职称的行业专家或专业技术人员担任指导工作，学院应安排一名校内教学科研人员配合协助做好指导工作。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6" w:hRule="atLeast"/>
        </w:trPr>
        <w:tc>
          <w:tcPr>
            <w:tcW w:w="773" w:type="dxa"/>
            <w:vMerge w:val="continue"/>
            <w:tcBorders>
              <w:top w:val="nil"/>
              <w:bottom w:val="single" w:color="000000" w:sz="4" w:space="0"/>
              <w:right w:val="single" w:color="000000" w:sz="4" w:space="0"/>
            </w:tcBorders>
            <w:noWrap w:val="0"/>
            <w:vAlign w:val="center"/>
          </w:tcPr>
          <w:p>
            <w:pPr>
              <w:jc w:val="both"/>
              <w:rPr>
                <w:rFonts w:hint="eastAsia" w:ascii="仿宋" w:hAnsi="仿宋" w:eastAsia="仿宋" w:cs="仿宋"/>
              </w:rPr>
            </w:pPr>
          </w:p>
        </w:tc>
        <w:tc>
          <w:tcPr>
            <w:tcW w:w="990" w:type="dxa"/>
            <w:tcBorders>
              <w:top w:val="single" w:color="000000" w:sz="4" w:space="0"/>
              <w:left w:val="single" w:color="000000" w:sz="4" w:space="0"/>
              <w:bottom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1.3 学生要求</w:t>
            </w:r>
          </w:p>
        </w:tc>
        <w:tc>
          <w:tcPr>
            <w:tcW w:w="6849" w:type="dxa"/>
            <w:tcBorders>
              <w:top w:val="single" w:color="000000" w:sz="4" w:space="0"/>
              <w:bottom w:val="single" w:color="000000" w:sz="4" w:space="0"/>
            </w:tcBorders>
            <w:noWrap w:val="0"/>
            <w:vAlign w:val="center"/>
          </w:tcPr>
          <w:p>
            <w:pPr>
              <w:ind w:firstLine="440" w:firstLineChars="200"/>
              <w:jc w:val="both"/>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重视毕业论文工作，虚心接受指导教师的指导和检查，尊规守纪，接受考勤，尊敬教师，主动与指导教师联系。</w:t>
            </w:r>
          </w:p>
          <w:p>
            <w:pPr>
              <w:ind w:firstLine="440" w:firstLineChars="200"/>
              <w:jc w:val="both"/>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努力提升中外文献查阅能力、解决实际问题的能力、综合应用知识的能力、应用外语和计算机的能力、写作能力和表达能力。</w:t>
            </w:r>
          </w:p>
          <w:p>
            <w:pPr>
              <w:ind w:firstLine="440" w:firstLineChars="200"/>
              <w:jc w:val="both"/>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遵守学术规范，独立自主、按时保质地完成毕业论文（设计）任务。</w:t>
            </w:r>
          </w:p>
          <w:p>
            <w:pPr>
              <w:ind w:firstLine="440" w:firstLineChars="200"/>
              <w:jc w:val="both"/>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对论文（设计）内容中涉及的有关技术资料、原创设计等知识成果负有保密责任，未经学校许可不能擅自对外交流或转让。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7" w:hRule="atLeast"/>
        </w:trPr>
        <w:tc>
          <w:tcPr>
            <w:tcW w:w="773" w:type="dxa"/>
            <w:vMerge w:val="restart"/>
            <w:tcBorders>
              <w:top w:val="single" w:color="000000" w:sz="4" w:space="0"/>
              <w:right w:val="single" w:color="000000" w:sz="4" w:space="0"/>
            </w:tcBorders>
            <w:noWrap w:val="0"/>
            <w:vAlign w:val="center"/>
          </w:tcPr>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r>
              <w:rPr>
                <w:rFonts w:hint="eastAsia" w:ascii="仿宋" w:hAnsi="仿宋" w:eastAsia="仿宋" w:cs="仿宋"/>
              </w:rPr>
              <w:t>2.选题质量</w:t>
            </w:r>
          </w:p>
        </w:tc>
        <w:tc>
          <w:tcPr>
            <w:tcW w:w="990" w:type="dxa"/>
            <w:tcBorders>
              <w:top w:val="single" w:color="000000" w:sz="4" w:space="0"/>
              <w:left w:val="single" w:color="000000" w:sz="4" w:space="0"/>
              <w:bottom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2.1 选题要求</w:t>
            </w:r>
          </w:p>
        </w:tc>
        <w:tc>
          <w:tcPr>
            <w:tcW w:w="6849" w:type="dxa"/>
            <w:tcBorders>
              <w:top w:val="single" w:color="000000" w:sz="4" w:space="0"/>
              <w:bottom w:val="single" w:color="000000" w:sz="4" w:space="0"/>
            </w:tcBorders>
            <w:noWrap w:val="0"/>
            <w:vAlign w:val="center"/>
          </w:tcPr>
          <w:p>
            <w:pPr>
              <w:ind w:firstLine="440" w:firstLineChars="200"/>
              <w:jc w:val="both"/>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符合专业培养目标要求，体现一定的学术、科研水平，具有实用性，符合社会和学生的实际，与科学研究、生产实际紧密结合，真题真做，有一定创新性和应用价值。</w:t>
            </w:r>
          </w:p>
          <w:p>
            <w:pPr>
              <w:jc w:val="both"/>
              <w:rPr>
                <w:rFonts w:hint="eastAsia" w:ascii="仿宋" w:hAnsi="仿宋" w:eastAsia="仿宋" w:cs="仿宋"/>
              </w:rPr>
            </w:pPr>
            <w:r>
              <w:rPr>
                <w:rFonts w:hint="eastAsia" w:ascii="仿宋" w:hAnsi="仿宋" w:eastAsia="仿宋" w:cs="仿宋"/>
              </w:rPr>
              <w:t>选题要考虑学生专业基础和撰写能力，工作量合理，避免雷同（含往届）。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22" w:hRule="atLeast"/>
        </w:trPr>
        <w:tc>
          <w:tcPr>
            <w:tcW w:w="773" w:type="dxa"/>
            <w:vMerge w:val="continue"/>
            <w:tcBorders>
              <w:right w:val="single" w:color="000000" w:sz="4" w:space="0"/>
            </w:tcBorders>
            <w:noWrap w:val="0"/>
            <w:vAlign w:val="center"/>
          </w:tcPr>
          <w:p>
            <w:pPr>
              <w:jc w:val="both"/>
              <w:rPr>
                <w:rFonts w:hint="eastAsia" w:ascii="仿宋" w:hAnsi="仿宋" w:eastAsia="仿宋" w:cs="仿宋"/>
              </w:rPr>
            </w:pPr>
          </w:p>
        </w:tc>
        <w:tc>
          <w:tcPr>
            <w:tcW w:w="990" w:type="dxa"/>
            <w:tcBorders>
              <w:left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2.2 选题来源</w:t>
            </w:r>
          </w:p>
        </w:tc>
        <w:tc>
          <w:tcPr>
            <w:tcW w:w="6849" w:type="dxa"/>
            <w:noWrap w:val="0"/>
            <w:vAlign w:val="center"/>
          </w:tcPr>
          <w:p>
            <w:pPr>
              <w:ind w:firstLine="440" w:firstLineChars="200"/>
              <w:jc w:val="both"/>
              <w:rPr>
                <w:rFonts w:hint="eastAsia" w:ascii="仿宋" w:hAnsi="仿宋" w:eastAsia="仿宋" w:cs="仿宋"/>
              </w:rPr>
            </w:pPr>
            <w:r>
              <w:rPr>
                <w:rFonts w:hint="eastAsia" w:ascii="仿宋" w:hAnsi="仿宋" w:eastAsia="仿宋" w:cs="仿宋"/>
              </w:rPr>
              <w:t>1.选题不能过大、过空，也不能过小、过窄，难易适当。</w:t>
            </w:r>
          </w:p>
          <w:p>
            <w:pPr>
              <w:ind w:firstLine="440" w:firstLineChars="200"/>
              <w:jc w:val="both"/>
              <w:rPr>
                <w:rFonts w:hint="eastAsia" w:ascii="仿宋" w:hAnsi="仿宋" w:eastAsia="仿宋" w:cs="仿宋"/>
              </w:rPr>
            </w:pPr>
            <w:r>
              <w:rPr>
                <w:rFonts w:hint="eastAsia" w:ascii="仿宋" w:hAnsi="仿宋" w:eastAsia="仿宋" w:cs="仿宋"/>
              </w:rPr>
              <w:t>2.参考选题数量应不少于预计毕业学生人数。</w:t>
            </w:r>
          </w:p>
          <w:p>
            <w:pPr>
              <w:ind w:firstLine="440" w:firstLineChars="200"/>
              <w:jc w:val="both"/>
              <w:rPr>
                <w:rFonts w:hint="eastAsia" w:ascii="仿宋" w:hAnsi="仿宋" w:eastAsia="仿宋" w:cs="仿宋"/>
              </w:rPr>
            </w:pPr>
            <w:r>
              <w:rPr>
                <w:rFonts w:hint="eastAsia" w:ascii="仿宋" w:hAnsi="仿宋" w:eastAsia="仿宋" w:cs="仿宋"/>
              </w:rPr>
              <w:t>3.论文选题中，50%以上选题要在实验、实习、工程实践和社会调查等社会实践中完成，坚持一人一题。也可就同一大课题形成论文（设计）团队，应明确规定每个学生独立完成的任务，并区分各自撰写的毕业论文（设计）。</w:t>
            </w:r>
            <w:bookmarkStart w:id="2" w:name="_GoBack"/>
            <w:bookmarkEnd w:id="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1" w:hRule="atLeast"/>
        </w:trPr>
        <w:tc>
          <w:tcPr>
            <w:tcW w:w="773" w:type="dxa"/>
            <w:vMerge w:val="continue"/>
            <w:tcBorders>
              <w:right w:val="single" w:color="000000" w:sz="4" w:space="0"/>
            </w:tcBorders>
            <w:noWrap w:val="0"/>
            <w:vAlign w:val="center"/>
          </w:tcPr>
          <w:p>
            <w:pPr>
              <w:jc w:val="both"/>
              <w:rPr>
                <w:rFonts w:hint="eastAsia" w:ascii="仿宋" w:hAnsi="仿宋" w:eastAsia="仿宋" w:cs="仿宋"/>
              </w:rPr>
            </w:pPr>
          </w:p>
        </w:tc>
        <w:tc>
          <w:tcPr>
            <w:tcW w:w="990" w:type="dxa"/>
            <w:tcBorders>
              <w:left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2.3 开题要求</w:t>
            </w:r>
          </w:p>
        </w:tc>
        <w:tc>
          <w:tcPr>
            <w:tcW w:w="6849" w:type="dxa"/>
            <w:noWrap w:val="0"/>
            <w:vAlign w:val="center"/>
          </w:tcPr>
          <w:p>
            <w:pPr>
              <w:ind w:firstLine="440" w:firstLineChars="200"/>
              <w:jc w:val="both"/>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学生选题后，由指导教师给学生下达任务书。任务书必须明确具体任务和目标，工作要量化，有明确的进度要求，提供相关参考资料和必要的工具和软件信息。</w:t>
            </w:r>
          </w:p>
          <w:p>
            <w:pPr>
              <w:ind w:firstLine="440" w:firstLineChars="200"/>
              <w:jc w:val="both"/>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学生接受任务后，须进行调查研究，收集和了解相关信息，拟定研究和设计工作方案、撰写论文提纲，形成毕业论文（设计）的基本思路以及进度安排，填写毕业论文（设计）开题报告。</w:t>
            </w:r>
          </w:p>
          <w:p>
            <w:pPr>
              <w:ind w:firstLine="440" w:firstLineChars="200"/>
              <w:jc w:val="both"/>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开题报告撰写认真，设计方案或论文撰写提纲切实可行，毕业论文（设计）开展计划安排合理，具有可操作性；文献综述格式规范、观点明确、评价合理、综述中所涉及的参考文献数量充足。</w:t>
            </w:r>
          </w:p>
          <w:p>
            <w:pPr>
              <w:ind w:firstLine="440" w:firstLineChars="200"/>
              <w:jc w:val="both"/>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指导教师认真审阅分析学生毕业论文（设计）开题报告，提出具体意见，由毕业论文开题报告评审小组组织开题报告会，严格审查，集体分析与决策,提出明确的意见。以上各项开题工作需严格按照此顺序开展，即选定题目→教师向学生下达任务书→学生撰写开题报告→召开开题报告会评审通过。</w:t>
            </w:r>
          </w:p>
          <w:p>
            <w:pPr>
              <w:jc w:val="both"/>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开题报告必须通过指导教师审批和评审小组审查。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773" w:type="dxa"/>
            <w:vMerge w:val="restart"/>
            <w:tcBorders>
              <w:right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3.过程质量</w:t>
            </w:r>
          </w:p>
        </w:tc>
        <w:tc>
          <w:tcPr>
            <w:tcW w:w="990" w:type="dxa"/>
            <w:tcBorders>
              <w:left w:val="single" w:color="000000" w:sz="4" w:space="0"/>
              <w:bottom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3.1 论文（设计）方法</w:t>
            </w:r>
          </w:p>
        </w:tc>
        <w:tc>
          <w:tcPr>
            <w:tcW w:w="6849" w:type="dxa"/>
            <w:noWrap w:val="0"/>
            <w:vAlign w:val="center"/>
          </w:tcPr>
          <w:p>
            <w:pPr>
              <w:ind w:firstLine="440" w:firstLineChars="200"/>
              <w:jc w:val="both"/>
              <w:rPr>
                <w:rFonts w:hint="eastAsia" w:ascii="仿宋" w:hAnsi="仿宋" w:eastAsia="仿宋" w:cs="仿宋"/>
              </w:rPr>
            </w:pPr>
            <w:r>
              <w:rPr>
                <w:rFonts w:hint="eastAsia" w:ascii="仿宋" w:hAnsi="仿宋" w:eastAsia="仿宋" w:cs="仿宋"/>
              </w:rPr>
              <w:t>在指导教师的全程指导下，运用正确的研究方法或手段，进行资料收集、实验研究、数据分析、作品（方案）设计等工作，过程符合论文（设计）要求。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4" w:hRule="atLeast"/>
        </w:trPr>
        <w:tc>
          <w:tcPr>
            <w:tcW w:w="773" w:type="dxa"/>
            <w:vMerge w:val="continue"/>
            <w:tcBorders>
              <w:right w:val="single" w:color="000000" w:sz="4" w:space="0"/>
            </w:tcBorders>
            <w:noWrap w:val="0"/>
            <w:vAlign w:val="center"/>
          </w:tcPr>
          <w:p>
            <w:pPr>
              <w:jc w:val="both"/>
              <w:rPr>
                <w:rFonts w:hint="eastAsia" w:ascii="仿宋" w:hAnsi="仿宋" w:eastAsia="仿宋" w:cs="仿宋"/>
              </w:rPr>
            </w:pPr>
          </w:p>
        </w:tc>
        <w:tc>
          <w:tcPr>
            <w:tcW w:w="990" w:type="dxa"/>
            <w:tcBorders>
              <w:top w:val="single" w:color="000000" w:sz="4" w:space="0"/>
              <w:left w:val="single" w:color="000000" w:sz="4" w:space="0"/>
              <w:bottom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3.2 参考文献</w:t>
            </w:r>
          </w:p>
        </w:tc>
        <w:tc>
          <w:tcPr>
            <w:tcW w:w="6849" w:type="dxa"/>
            <w:noWrap w:val="0"/>
            <w:vAlign w:val="center"/>
          </w:tcPr>
          <w:p>
            <w:pPr>
              <w:ind w:firstLine="440" w:firstLineChars="200"/>
              <w:jc w:val="both"/>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参考文献充分、可靠，所收集的资料新颖、实用，符合论文（设计）目的，文献中外文文献占有一定比重。</w:t>
            </w:r>
          </w:p>
          <w:p>
            <w:pPr>
              <w:ind w:firstLine="440" w:firstLineChars="200"/>
              <w:jc w:val="both"/>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学生认真阅读教师指定的参考文献，同时阅读自选资料。</w:t>
            </w:r>
          </w:p>
          <w:p>
            <w:pPr>
              <w:ind w:firstLine="440" w:firstLineChars="200"/>
              <w:jc w:val="both"/>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毕业论文的参考文献应在</w:t>
            </w:r>
            <w:r>
              <w:rPr>
                <w:rFonts w:hint="eastAsia" w:ascii="仿宋" w:hAnsi="仿宋" w:eastAsia="仿宋" w:cs="仿宋"/>
                <w:lang w:val="en-US" w:eastAsia="zh-CN"/>
              </w:rPr>
              <w:t>15</w:t>
            </w:r>
            <w:r>
              <w:rPr>
                <w:rFonts w:hint="eastAsia" w:ascii="仿宋" w:hAnsi="仿宋" w:eastAsia="仿宋" w:cs="仿宋"/>
              </w:rPr>
              <w:t>篇（部）以上，其中外文参考文献不少于</w:t>
            </w:r>
            <w:r>
              <w:rPr>
                <w:rFonts w:hint="eastAsia" w:ascii="仿宋" w:hAnsi="仿宋" w:eastAsia="仿宋" w:cs="仿宋"/>
                <w:lang w:val="en-US" w:eastAsia="zh-CN"/>
              </w:rPr>
              <w:t>2</w:t>
            </w:r>
            <w:r>
              <w:rPr>
                <w:rFonts w:hint="eastAsia" w:ascii="仿宋" w:hAnsi="仿宋" w:eastAsia="仿宋" w:cs="仿宋"/>
              </w:rPr>
              <w:t>篇。艺术类毕业设计的参考文献不少于</w:t>
            </w:r>
            <w:r>
              <w:rPr>
                <w:rFonts w:hint="eastAsia" w:ascii="仿宋" w:hAnsi="仿宋" w:eastAsia="仿宋" w:cs="仿宋"/>
                <w:lang w:val="en-US" w:eastAsia="zh-CN"/>
              </w:rPr>
              <w:t>10</w:t>
            </w:r>
            <w:r>
              <w:rPr>
                <w:rFonts w:hint="eastAsia" w:ascii="仿宋" w:hAnsi="仿宋" w:eastAsia="仿宋" w:cs="仿宋"/>
              </w:rPr>
              <w:t>篇，其中外文参考文献篇数不作硬性要求。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773" w:type="dxa"/>
            <w:vMerge w:val="continue"/>
            <w:tcBorders>
              <w:right w:val="single" w:color="000000" w:sz="4" w:space="0"/>
            </w:tcBorders>
            <w:noWrap w:val="0"/>
            <w:vAlign w:val="center"/>
          </w:tcPr>
          <w:p>
            <w:pPr>
              <w:jc w:val="both"/>
              <w:rPr>
                <w:rFonts w:hint="eastAsia" w:ascii="仿宋" w:hAnsi="仿宋" w:eastAsia="仿宋" w:cs="仿宋"/>
              </w:rPr>
            </w:pPr>
          </w:p>
        </w:tc>
        <w:tc>
          <w:tcPr>
            <w:tcW w:w="990" w:type="dxa"/>
            <w:tcBorders>
              <w:left w:val="single" w:color="000000" w:sz="4" w:space="0"/>
              <w:bottom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3.3 初稿</w:t>
            </w:r>
          </w:p>
        </w:tc>
        <w:tc>
          <w:tcPr>
            <w:tcW w:w="6849" w:type="dxa"/>
            <w:noWrap w:val="0"/>
            <w:vAlign w:val="center"/>
          </w:tcPr>
          <w:p>
            <w:pPr>
              <w:ind w:firstLine="440" w:firstLineChars="200"/>
              <w:jc w:val="both"/>
              <w:rPr>
                <w:rFonts w:hint="eastAsia" w:ascii="仿宋" w:hAnsi="仿宋" w:eastAsia="仿宋" w:cs="仿宋"/>
              </w:rPr>
            </w:pPr>
            <w:r>
              <w:rPr>
                <w:rFonts w:hint="eastAsia" w:ascii="仿宋" w:hAnsi="仿宋" w:eastAsia="仿宋" w:cs="仿宋"/>
              </w:rPr>
              <w:t>初稿须经指导教师审阅，学生作进一步修改并得到指导教师认可后定稿。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5" w:hRule="atLeast"/>
        </w:trPr>
        <w:tc>
          <w:tcPr>
            <w:tcW w:w="773" w:type="dxa"/>
            <w:vMerge w:val="continue"/>
            <w:tcBorders>
              <w:bottom w:val="single" w:color="000000" w:sz="4" w:space="0"/>
              <w:right w:val="single" w:color="000000" w:sz="4" w:space="0"/>
            </w:tcBorders>
            <w:noWrap w:val="0"/>
            <w:vAlign w:val="center"/>
          </w:tcPr>
          <w:p>
            <w:pPr>
              <w:jc w:val="both"/>
              <w:rPr>
                <w:rFonts w:hint="eastAsia" w:ascii="仿宋" w:hAnsi="仿宋" w:eastAsia="仿宋" w:cs="仿宋"/>
              </w:rPr>
            </w:pPr>
          </w:p>
        </w:tc>
        <w:tc>
          <w:tcPr>
            <w:tcW w:w="990" w:type="dxa"/>
            <w:tcBorders>
              <w:top w:val="single" w:color="000000" w:sz="4" w:space="0"/>
              <w:left w:val="single" w:color="000000" w:sz="4" w:space="0"/>
              <w:bottom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3.4 中期检查</w:t>
            </w:r>
          </w:p>
        </w:tc>
        <w:tc>
          <w:tcPr>
            <w:tcW w:w="6849" w:type="dxa"/>
            <w:noWrap w:val="0"/>
            <w:vAlign w:val="center"/>
          </w:tcPr>
          <w:p>
            <w:pPr>
              <w:ind w:firstLine="440" w:firstLineChars="200"/>
              <w:jc w:val="both"/>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严格遵循毕业论文（设计）工作计划组织开展中期检查工作。应对指导教师的指导工作进行严格考勤和检查，检查、了解学生毕业论文（设计）进展情况，掌握存在的问题，教师指导记录完整。</w:t>
            </w:r>
          </w:p>
          <w:p>
            <w:pPr>
              <w:ind w:firstLine="440" w:firstLineChars="200"/>
              <w:jc w:val="both"/>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中期检查一般在论文撰写或设计正式开始后第四周左右进行。中期检查时，学生的论文初稿一般都完成，或毕业设计工作达到计划的二分之一以上。</w:t>
            </w:r>
          </w:p>
          <w:p>
            <w:pPr>
              <w:ind w:firstLine="440" w:firstLineChars="200"/>
              <w:jc w:val="both"/>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学校组织全校毕业论文（设计）工作中期检查的抽查，形成检查报告。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8" w:hRule="atLeast"/>
        </w:trPr>
        <w:tc>
          <w:tcPr>
            <w:tcW w:w="773" w:type="dxa"/>
            <w:vMerge w:val="restart"/>
            <w:tcBorders>
              <w:top w:val="single" w:color="000000" w:sz="4" w:space="0"/>
              <w:right w:val="single" w:color="000000" w:sz="4" w:space="0"/>
            </w:tcBorders>
            <w:noWrap w:val="0"/>
            <w:vAlign w:val="center"/>
          </w:tcPr>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r>
              <w:rPr>
                <w:rFonts w:hint="eastAsia" w:ascii="仿宋" w:hAnsi="仿宋" w:eastAsia="仿宋" w:cs="仿宋"/>
              </w:rPr>
              <w:t>4.撰写质量</w:t>
            </w:r>
          </w:p>
        </w:tc>
        <w:tc>
          <w:tcPr>
            <w:tcW w:w="990" w:type="dxa"/>
            <w:tcBorders>
              <w:top w:val="single" w:color="000000" w:sz="4" w:space="0"/>
              <w:left w:val="single" w:color="000000" w:sz="4" w:space="0"/>
              <w:bottom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4.1 完成时间</w:t>
            </w:r>
          </w:p>
        </w:tc>
        <w:tc>
          <w:tcPr>
            <w:tcW w:w="6849" w:type="dxa"/>
            <w:noWrap w:val="0"/>
            <w:vAlign w:val="center"/>
          </w:tcPr>
          <w:p>
            <w:pPr>
              <w:ind w:firstLine="440" w:firstLineChars="200"/>
              <w:jc w:val="both"/>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能按毕业论文（设计）计划安排毕业论文（设计）撰写的进程，学生在规定的时间内完成论文（设计），一般在答辩前一周定稿。</w:t>
            </w:r>
          </w:p>
          <w:p>
            <w:pPr>
              <w:ind w:firstLine="440" w:firstLineChars="200"/>
              <w:jc w:val="both"/>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毕业论文(设计)的完成时间不少于人才培养方案要求的时间。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2" w:hRule="atLeast"/>
        </w:trPr>
        <w:tc>
          <w:tcPr>
            <w:tcW w:w="773" w:type="dxa"/>
            <w:vMerge w:val="continue"/>
            <w:tcBorders>
              <w:top w:val="nil"/>
              <w:right w:val="single" w:color="000000" w:sz="4" w:space="0"/>
            </w:tcBorders>
            <w:noWrap w:val="0"/>
            <w:vAlign w:val="center"/>
          </w:tcPr>
          <w:p>
            <w:pPr>
              <w:jc w:val="both"/>
              <w:rPr>
                <w:rFonts w:hint="eastAsia" w:ascii="仿宋" w:hAnsi="仿宋" w:eastAsia="仿宋" w:cs="仿宋"/>
              </w:rPr>
            </w:pPr>
          </w:p>
        </w:tc>
        <w:tc>
          <w:tcPr>
            <w:tcW w:w="990" w:type="dxa"/>
            <w:tcBorders>
              <w:top w:val="single" w:color="000000" w:sz="4" w:space="0"/>
              <w:left w:val="single" w:color="000000" w:sz="4" w:space="0"/>
              <w:bottom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4.2 论文（设计）结构</w:t>
            </w:r>
          </w:p>
        </w:tc>
        <w:tc>
          <w:tcPr>
            <w:tcW w:w="6849" w:type="dxa"/>
            <w:noWrap w:val="0"/>
            <w:vAlign w:val="center"/>
          </w:tcPr>
          <w:p>
            <w:pPr>
              <w:ind w:firstLine="440" w:firstLineChars="200"/>
              <w:jc w:val="both"/>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毕业论文（设计）的结构完整、规范。包括：毕业论文（设计）的封面、中文摘要及关键词、英文摘要及关键词、目录、论文正文、参考文献、附录、致谢等。</w:t>
            </w:r>
          </w:p>
          <w:p>
            <w:pPr>
              <w:ind w:firstLine="440" w:firstLineChars="200"/>
              <w:jc w:val="both"/>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全文首尾呼应，重点突出、层次分明、脉络清楚；材料取舍，详略得当。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5" w:hRule="atLeast"/>
        </w:trPr>
        <w:tc>
          <w:tcPr>
            <w:tcW w:w="773" w:type="dxa"/>
            <w:vMerge w:val="continue"/>
            <w:tcBorders>
              <w:top w:val="nil"/>
              <w:right w:val="single" w:color="000000" w:sz="4" w:space="0"/>
            </w:tcBorders>
            <w:noWrap w:val="0"/>
            <w:vAlign w:val="center"/>
          </w:tcPr>
          <w:p>
            <w:pPr>
              <w:jc w:val="both"/>
              <w:rPr>
                <w:rFonts w:hint="eastAsia" w:ascii="仿宋" w:hAnsi="仿宋" w:eastAsia="仿宋" w:cs="仿宋"/>
              </w:rPr>
            </w:pPr>
          </w:p>
        </w:tc>
        <w:tc>
          <w:tcPr>
            <w:tcW w:w="990" w:type="dxa"/>
            <w:tcBorders>
              <w:top w:val="single" w:color="000000" w:sz="4" w:space="0"/>
              <w:left w:val="single" w:color="000000" w:sz="4" w:space="0"/>
              <w:bottom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4.3 论文（设计）格式</w:t>
            </w:r>
          </w:p>
        </w:tc>
        <w:tc>
          <w:tcPr>
            <w:tcW w:w="6849" w:type="dxa"/>
            <w:noWrap w:val="0"/>
            <w:vAlign w:val="center"/>
          </w:tcPr>
          <w:p>
            <w:pPr>
              <w:ind w:firstLine="440" w:firstLineChars="200"/>
              <w:jc w:val="both"/>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拟进行答辩的毕业论文（设计）统一用A4纸打印，按论文结构要求依次编排。</w:t>
            </w:r>
          </w:p>
          <w:p>
            <w:pPr>
              <w:ind w:firstLine="440" w:firstLineChars="200"/>
              <w:jc w:val="both"/>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毕业论文（设计）格式符合</w:t>
            </w:r>
            <w:r>
              <w:rPr>
                <w:rFonts w:hint="eastAsia" w:ascii="仿宋" w:hAnsi="仿宋" w:eastAsia="仿宋" w:cs="仿宋"/>
                <w:lang w:eastAsia="zh-CN"/>
              </w:rPr>
              <w:t>《成都文理学院毕业论文（设计）撰写、编辑、印制规范》</w:t>
            </w:r>
            <w:r>
              <w:rPr>
                <w:rFonts w:hint="eastAsia" w:ascii="仿宋" w:hAnsi="仿宋" w:eastAsia="仿宋" w:cs="仿宋"/>
              </w:rPr>
              <w:t>要求，论文文字、公式、表格、图形表述规范，符号统一，编号齐全。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6" w:hRule="atLeast"/>
        </w:trPr>
        <w:tc>
          <w:tcPr>
            <w:tcW w:w="773" w:type="dxa"/>
            <w:vMerge w:val="continue"/>
            <w:tcBorders>
              <w:top w:val="nil"/>
              <w:right w:val="single" w:color="000000" w:sz="4" w:space="0"/>
            </w:tcBorders>
            <w:noWrap w:val="0"/>
            <w:vAlign w:val="center"/>
          </w:tcPr>
          <w:p>
            <w:pPr>
              <w:jc w:val="both"/>
              <w:rPr>
                <w:rFonts w:hint="eastAsia" w:ascii="仿宋" w:hAnsi="仿宋" w:eastAsia="仿宋" w:cs="仿宋"/>
              </w:rPr>
            </w:pPr>
          </w:p>
        </w:tc>
        <w:tc>
          <w:tcPr>
            <w:tcW w:w="990" w:type="dxa"/>
            <w:tcBorders>
              <w:top w:val="single" w:color="000000" w:sz="4" w:space="0"/>
              <w:left w:val="single" w:color="000000" w:sz="4" w:space="0"/>
              <w:bottom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4.4 写作水平</w:t>
            </w:r>
          </w:p>
        </w:tc>
        <w:tc>
          <w:tcPr>
            <w:tcW w:w="6849" w:type="dxa"/>
            <w:noWrap w:val="0"/>
            <w:vAlign w:val="center"/>
          </w:tcPr>
          <w:p>
            <w:pPr>
              <w:ind w:firstLine="440" w:firstLineChars="200"/>
              <w:jc w:val="both"/>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论文文题相符，结构严谨，层次清晰，论点鲜明，观点正确，有新意。</w:t>
            </w:r>
          </w:p>
          <w:p>
            <w:pPr>
              <w:ind w:firstLine="440" w:firstLineChars="200"/>
              <w:jc w:val="both"/>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论据充分，论证合乎逻辑，专业用语准确，言简意赅，语句通顺，表现出初步的科研论文写作能力。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0" w:hRule="atLeast"/>
        </w:trPr>
        <w:tc>
          <w:tcPr>
            <w:tcW w:w="773" w:type="dxa"/>
            <w:vMerge w:val="continue"/>
            <w:tcBorders>
              <w:top w:val="nil"/>
              <w:right w:val="single" w:color="000000" w:sz="4" w:space="0"/>
            </w:tcBorders>
            <w:noWrap w:val="0"/>
            <w:vAlign w:val="center"/>
          </w:tcPr>
          <w:p>
            <w:pPr>
              <w:jc w:val="both"/>
              <w:rPr>
                <w:rFonts w:hint="eastAsia" w:ascii="仿宋" w:hAnsi="仿宋" w:eastAsia="仿宋" w:cs="仿宋"/>
              </w:rPr>
            </w:pPr>
          </w:p>
        </w:tc>
        <w:tc>
          <w:tcPr>
            <w:tcW w:w="990" w:type="dxa"/>
            <w:tcBorders>
              <w:top w:val="single" w:color="000000" w:sz="4" w:space="0"/>
              <w:left w:val="single" w:color="000000" w:sz="4" w:space="0"/>
              <w:bottom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4.5 论文（设计）效果</w:t>
            </w:r>
          </w:p>
        </w:tc>
        <w:tc>
          <w:tcPr>
            <w:tcW w:w="6849" w:type="dxa"/>
            <w:noWrap w:val="0"/>
            <w:vAlign w:val="center"/>
          </w:tcPr>
          <w:p>
            <w:pPr>
              <w:ind w:firstLine="440" w:firstLineChars="200"/>
              <w:jc w:val="both"/>
              <w:rPr>
                <w:rFonts w:hint="eastAsia" w:ascii="仿宋" w:hAnsi="仿宋" w:eastAsia="仿宋" w:cs="仿宋"/>
              </w:rPr>
            </w:pPr>
            <w:r>
              <w:rPr>
                <w:rFonts w:hint="eastAsia" w:ascii="仿宋" w:hAnsi="仿宋" w:eastAsia="仿宋" w:cs="仿宋"/>
              </w:rPr>
              <w:t>1.毕业论文（设计）回答了研究提出的问题，达到了研究目的，具有一定的理论与实践意义。</w:t>
            </w:r>
          </w:p>
          <w:p>
            <w:pPr>
              <w:jc w:val="both"/>
              <w:rPr>
                <w:rFonts w:hint="eastAsia" w:ascii="仿宋" w:hAnsi="仿宋" w:eastAsia="仿宋" w:cs="仿宋"/>
              </w:rPr>
            </w:pPr>
            <w:r>
              <w:rPr>
                <w:rFonts w:hint="eastAsia" w:ascii="仿宋" w:hAnsi="仿宋" w:eastAsia="仿宋" w:cs="仿宋"/>
              </w:rPr>
              <w:t>2.（理工类）设计合理,理论分析与计算正确；实验数据准确可靠，有较强的实际动手能力、分析能力和计算机应用能力；结构严谨，逻辑性强，论述层次清 晰。（文经管类）论文论点鲜明、论据确凿；表现出对实际问题有较强的分析能力和概括能力；文章材料详实可靠，有说服力；结构严谨，逻辑性强，论述层次清晰。</w:t>
            </w:r>
          </w:p>
          <w:p>
            <w:pPr>
              <w:ind w:firstLine="440" w:firstLineChars="200"/>
              <w:jc w:val="both"/>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在解决实际问题和理论问题过程中所运用的方法和手段具有一定的创新性。</w:t>
            </w:r>
          </w:p>
          <w:p>
            <w:pPr>
              <w:ind w:firstLine="440" w:firstLineChars="200"/>
              <w:jc w:val="both"/>
              <w:rPr>
                <w:rFonts w:hint="default" w:ascii="仿宋" w:hAnsi="仿宋" w:eastAsia="仿宋" w:cs="仿宋"/>
                <w:lang w:val="en-US" w:eastAsia="zh-CN"/>
              </w:rPr>
            </w:pPr>
            <w:r>
              <w:rPr>
                <w:rFonts w:hint="eastAsia" w:ascii="仿宋" w:hAnsi="仿宋" w:eastAsia="仿宋" w:cs="仿宋"/>
                <w:lang w:val="en-US" w:eastAsia="zh-CN"/>
              </w:rPr>
              <w:t>4.</w:t>
            </w:r>
            <w:r>
              <w:rPr>
                <w:rFonts w:hint="eastAsia" w:ascii="仿宋" w:hAnsi="仿宋" w:eastAsia="仿宋" w:cs="仿宋"/>
              </w:rPr>
              <w:t>篇幅符合专业规定要求。正文字数符合要求：理、工、文科不少于10000字</w:t>
            </w:r>
            <w:r>
              <w:rPr>
                <w:rFonts w:hint="eastAsia" w:ascii="仿宋" w:hAnsi="仿宋" w:eastAsia="仿宋" w:cs="仿宋"/>
                <w:lang w:val="en-US" w:eastAsia="zh-CN"/>
              </w:rPr>
              <w:t>,外语专业不得少于6000个实词,艺术、设计类专业设计说明或阐述不得少于6000字。</w:t>
            </w:r>
          </w:p>
          <w:p>
            <w:pPr>
              <w:ind w:firstLine="440" w:firstLineChars="200"/>
              <w:jc w:val="both"/>
              <w:rPr>
                <w:rFonts w:hint="eastAsia" w:ascii="仿宋" w:hAnsi="仿宋" w:eastAsia="仿宋" w:cs="仿宋"/>
                <w:lang w:eastAsia="zh-CN"/>
              </w:rPr>
            </w:pPr>
            <w:r>
              <w:rPr>
                <w:rFonts w:hint="eastAsia" w:ascii="仿宋" w:hAnsi="仿宋" w:eastAsia="仿宋" w:cs="仿宋"/>
                <w:lang w:val="en-US" w:eastAsia="zh-CN"/>
              </w:rPr>
              <w:t>5.</w:t>
            </w:r>
            <w:r>
              <w:rPr>
                <w:rFonts w:hint="eastAsia" w:ascii="仿宋" w:hAnsi="仿宋" w:eastAsia="仿宋" w:cs="仿宋"/>
              </w:rPr>
              <w:t>论文在学校指定的论文检测平台检测的文字复制比率不超过20</w:t>
            </w:r>
            <w:r>
              <w:rPr>
                <w:rFonts w:hint="eastAsia" w:ascii="仿宋" w:hAnsi="仿宋" w:eastAsia="仿宋" w:cs="仿宋"/>
                <w:lang w:val="en-US" w:eastAsia="zh-CN"/>
              </w:rPr>
              <w:t>%。</w:t>
            </w:r>
          </w:p>
          <w:p>
            <w:pPr>
              <w:ind w:firstLine="440" w:firstLineChars="200"/>
              <w:jc w:val="both"/>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外文翻译选材与本专业紧密关联，翻译忠实原文，表达准确。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773" w:type="dxa"/>
            <w:vMerge w:val="continue"/>
            <w:tcBorders>
              <w:top w:val="nil"/>
              <w:bottom w:val="single" w:color="000000" w:sz="4" w:space="0"/>
              <w:right w:val="single" w:color="000000" w:sz="4" w:space="0"/>
            </w:tcBorders>
            <w:noWrap w:val="0"/>
            <w:vAlign w:val="center"/>
          </w:tcPr>
          <w:p>
            <w:pPr>
              <w:jc w:val="both"/>
              <w:rPr>
                <w:rFonts w:hint="eastAsia" w:ascii="仿宋" w:hAnsi="仿宋" w:eastAsia="仿宋" w:cs="仿宋"/>
              </w:rPr>
            </w:pPr>
          </w:p>
        </w:tc>
        <w:tc>
          <w:tcPr>
            <w:tcW w:w="990" w:type="dxa"/>
            <w:tcBorders>
              <w:top w:val="single" w:color="000000" w:sz="4" w:space="0"/>
              <w:left w:val="single" w:color="000000" w:sz="4" w:space="0"/>
              <w:bottom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4.6 学术水平</w:t>
            </w:r>
          </w:p>
        </w:tc>
        <w:tc>
          <w:tcPr>
            <w:tcW w:w="6849" w:type="dxa"/>
            <w:noWrap w:val="0"/>
            <w:vAlign w:val="center"/>
          </w:tcPr>
          <w:p>
            <w:pPr>
              <w:ind w:firstLine="440" w:firstLineChars="200"/>
              <w:jc w:val="both"/>
              <w:rPr>
                <w:rFonts w:hint="eastAsia" w:ascii="仿宋" w:hAnsi="仿宋" w:eastAsia="仿宋" w:cs="仿宋"/>
              </w:rPr>
            </w:pPr>
            <w:r>
              <w:rPr>
                <w:rFonts w:hint="eastAsia" w:ascii="仿宋" w:hAnsi="仿宋" w:eastAsia="仿宋" w:cs="仿宋"/>
              </w:rPr>
              <w:t>具有一定的学术水平或应用价值；对与课题相关的理论或实际问题有较深刻的认识，有新的见解，有一定的创新。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773" w:type="dxa"/>
            <w:vMerge w:val="continue"/>
            <w:tcBorders>
              <w:top w:val="nil"/>
              <w:bottom w:val="single" w:color="000000" w:sz="4" w:space="0"/>
              <w:right w:val="single" w:color="000000" w:sz="4" w:space="0"/>
            </w:tcBorders>
            <w:noWrap w:val="0"/>
            <w:vAlign w:val="center"/>
          </w:tcPr>
          <w:p>
            <w:pPr>
              <w:jc w:val="both"/>
              <w:rPr>
                <w:rFonts w:hint="eastAsia" w:ascii="仿宋" w:hAnsi="仿宋" w:eastAsia="仿宋" w:cs="仿宋"/>
              </w:rPr>
            </w:pPr>
          </w:p>
        </w:tc>
        <w:tc>
          <w:tcPr>
            <w:tcW w:w="990" w:type="dxa"/>
            <w:tcBorders>
              <w:top w:val="single" w:color="000000" w:sz="4" w:space="0"/>
              <w:left w:val="single" w:color="000000" w:sz="4" w:space="0"/>
              <w:bottom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4.7 文献要求</w:t>
            </w:r>
          </w:p>
        </w:tc>
        <w:tc>
          <w:tcPr>
            <w:tcW w:w="6849" w:type="dxa"/>
            <w:noWrap w:val="0"/>
            <w:vAlign w:val="center"/>
          </w:tcPr>
          <w:p>
            <w:pPr>
              <w:ind w:firstLine="440" w:firstLineChars="200"/>
              <w:jc w:val="both"/>
              <w:rPr>
                <w:rFonts w:hint="eastAsia" w:ascii="仿宋" w:hAnsi="仿宋" w:eastAsia="仿宋" w:cs="仿宋"/>
              </w:rPr>
            </w:pPr>
            <w:r>
              <w:rPr>
                <w:rFonts w:hint="eastAsia" w:ascii="仿宋" w:hAnsi="仿宋" w:eastAsia="仿宋" w:cs="仿宋"/>
              </w:rPr>
              <w:t>参考文献数量充分、可靠、新颖、实用，符合研究（设计）目的，参考文献的引用符合科学规范。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1" w:hRule="atLeast"/>
        </w:trPr>
        <w:tc>
          <w:tcPr>
            <w:tcW w:w="773" w:type="dxa"/>
            <w:vMerge w:val="restart"/>
            <w:tcBorders>
              <w:top w:val="single" w:color="000000" w:sz="4" w:space="0"/>
              <w:right w:val="single" w:color="000000" w:sz="4" w:space="0"/>
            </w:tcBorders>
            <w:noWrap w:val="0"/>
            <w:vAlign w:val="center"/>
          </w:tcPr>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r>
              <w:rPr>
                <w:rFonts w:hint="eastAsia" w:ascii="仿宋" w:hAnsi="仿宋" w:eastAsia="仿宋" w:cs="仿宋"/>
              </w:rPr>
              <w:t>5.答辩质量</w:t>
            </w:r>
          </w:p>
        </w:tc>
        <w:tc>
          <w:tcPr>
            <w:tcW w:w="990" w:type="dxa"/>
            <w:tcBorders>
              <w:top w:val="single" w:color="000000" w:sz="4" w:space="0"/>
              <w:left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5.1 答辩组织</w:t>
            </w:r>
          </w:p>
        </w:tc>
        <w:tc>
          <w:tcPr>
            <w:tcW w:w="6849" w:type="dxa"/>
            <w:noWrap w:val="0"/>
            <w:vAlign w:val="center"/>
          </w:tcPr>
          <w:p>
            <w:pPr>
              <w:ind w:firstLine="440" w:firstLineChars="200"/>
              <w:jc w:val="both"/>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各学院答辩工作由各学院</w:t>
            </w:r>
            <w:r>
              <w:rPr>
                <w:rFonts w:hint="eastAsia" w:ascii="仿宋" w:hAnsi="仿宋" w:eastAsia="仿宋" w:cs="仿宋"/>
                <w:lang w:val="en-US" w:eastAsia="zh-CN"/>
              </w:rPr>
              <w:t>分管教学院长</w:t>
            </w:r>
            <w:r>
              <w:rPr>
                <w:rFonts w:hint="eastAsia" w:ascii="仿宋" w:hAnsi="仿宋" w:eastAsia="仿宋" w:cs="仿宋"/>
              </w:rPr>
              <w:t>主持，制定符合各专业特点的答辩评分标准、程序及流程，成立结构合理、专业性强、有权威性的答辩委员会。</w:t>
            </w:r>
          </w:p>
          <w:p>
            <w:pPr>
              <w:ind w:firstLine="440" w:firstLineChars="200"/>
              <w:jc w:val="both"/>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答辩委员会成员必须由具有副高及以上职称或博士学位的教师担任，成员不少于5人，设</w:t>
            </w:r>
            <w:r>
              <w:rPr>
                <w:rFonts w:hint="eastAsia" w:ascii="仿宋" w:hAnsi="仿宋" w:eastAsia="仿宋" w:cs="仿宋"/>
                <w:lang w:val="en-US" w:eastAsia="zh-CN"/>
              </w:rPr>
              <w:t>主席一名</w:t>
            </w:r>
            <w:r>
              <w:rPr>
                <w:rFonts w:hint="eastAsia" w:ascii="仿宋" w:hAnsi="仿宋" w:eastAsia="仿宋" w:cs="仿宋"/>
              </w:rPr>
              <w:t>。</w:t>
            </w:r>
          </w:p>
          <w:p>
            <w:pPr>
              <w:ind w:firstLine="440" w:firstLineChars="200"/>
              <w:jc w:val="both"/>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答辩委员会可根据情况下设若干答辩小组，负责答辩的具体工作。每组</w:t>
            </w:r>
            <w:r>
              <w:rPr>
                <w:rFonts w:hint="eastAsia" w:ascii="仿宋" w:hAnsi="仿宋" w:eastAsia="仿宋" w:cs="仿宋"/>
                <w:lang w:val="en-US" w:eastAsia="zh-CN"/>
              </w:rPr>
              <w:t>为</w:t>
            </w:r>
            <w:r>
              <w:rPr>
                <w:rFonts w:hint="eastAsia" w:ascii="仿宋" w:hAnsi="仿宋" w:eastAsia="仿宋" w:cs="仿宋"/>
              </w:rPr>
              <w:t>3人</w:t>
            </w:r>
            <w:r>
              <w:rPr>
                <w:rFonts w:hint="eastAsia" w:ascii="仿宋" w:hAnsi="仿宋" w:eastAsia="仿宋" w:cs="仿宋"/>
                <w:lang w:val="en-US" w:eastAsia="zh-CN"/>
              </w:rPr>
              <w:t>及以上单数</w:t>
            </w:r>
            <w:r>
              <w:rPr>
                <w:rFonts w:hint="eastAsia" w:ascii="仿宋" w:hAnsi="仿宋" w:eastAsia="仿宋" w:cs="仿宋"/>
              </w:rPr>
              <w:t>，设组长一名，成员应由讲师及讲师以上职称或具有硕士研究生及以上学历并有较强的业务能力和工作能力的人员担任，组长须有副高级及以上职称。每组可配置1-2名答辩秘书。</w:t>
            </w:r>
          </w:p>
          <w:p>
            <w:pPr>
              <w:ind w:firstLine="440" w:firstLineChars="200"/>
              <w:jc w:val="both"/>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各学院可根据专业需要，聘请本学科专业领域符合相应职称要求的校外专家担任答辩委员会成员或答辩小组成员。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0" w:hRule="atLeast"/>
        </w:trPr>
        <w:tc>
          <w:tcPr>
            <w:tcW w:w="773" w:type="dxa"/>
            <w:vMerge w:val="continue"/>
            <w:tcBorders>
              <w:top w:val="nil"/>
              <w:right w:val="single" w:color="000000" w:sz="4" w:space="0"/>
            </w:tcBorders>
            <w:noWrap w:val="0"/>
            <w:vAlign w:val="center"/>
          </w:tcPr>
          <w:p>
            <w:pPr>
              <w:jc w:val="both"/>
              <w:rPr>
                <w:rFonts w:hint="eastAsia" w:ascii="仿宋" w:hAnsi="仿宋" w:eastAsia="仿宋" w:cs="仿宋"/>
              </w:rPr>
            </w:pPr>
          </w:p>
        </w:tc>
        <w:tc>
          <w:tcPr>
            <w:tcW w:w="990" w:type="dxa"/>
            <w:tcBorders>
              <w:left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5.2 答辩准备</w:t>
            </w:r>
          </w:p>
        </w:tc>
        <w:tc>
          <w:tcPr>
            <w:tcW w:w="6849" w:type="dxa"/>
            <w:noWrap w:val="0"/>
            <w:vAlign w:val="center"/>
          </w:tcPr>
          <w:p>
            <w:pPr>
              <w:ind w:firstLine="440" w:firstLineChars="200"/>
              <w:jc w:val="both"/>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毕业论文（设计）通过指导教师和评阅教师评定成绩合格，同时达到毕业论文（设计）的复制比检测环节合格要求后，方可进入答辩环节。</w:t>
            </w:r>
          </w:p>
          <w:p>
            <w:pPr>
              <w:ind w:firstLine="440" w:firstLineChars="200"/>
              <w:jc w:val="both"/>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各学院答辩委员会（小组）审查答辩资格，审查不通过者，不参加答辩。</w:t>
            </w:r>
          </w:p>
          <w:p>
            <w:pPr>
              <w:ind w:firstLine="440" w:firstLineChars="200"/>
              <w:jc w:val="both"/>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答辩安排应以公告形式向学生公布，鼓励学生旁听。</w:t>
            </w:r>
          </w:p>
          <w:p>
            <w:pPr>
              <w:ind w:firstLine="440" w:firstLineChars="200"/>
              <w:jc w:val="both"/>
              <w:rPr>
                <w:rFonts w:hint="eastAsia" w:ascii="仿宋" w:hAnsi="仿宋" w:eastAsia="仿宋" w:cs="仿宋"/>
              </w:rPr>
            </w:pPr>
            <w:r>
              <w:rPr>
                <w:rFonts w:hint="eastAsia" w:ascii="仿宋" w:hAnsi="仿宋" w:eastAsia="仿宋" w:cs="仿宋"/>
              </w:rPr>
              <w:t>4.答辩前对学生进行适当的心理和技术辅导，答辩时间安排科学合理，答辩场所环境安静，学生答辩所需的设备齐全。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2" w:hRule="atLeast"/>
        </w:trPr>
        <w:tc>
          <w:tcPr>
            <w:tcW w:w="773" w:type="dxa"/>
            <w:vMerge w:val="continue"/>
            <w:tcBorders>
              <w:top w:val="nil"/>
              <w:right w:val="single" w:color="000000" w:sz="4" w:space="0"/>
            </w:tcBorders>
            <w:noWrap w:val="0"/>
            <w:vAlign w:val="center"/>
          </w:tcPr>
          <w:p>
            <w:pPr>
              <w:jc w:val="both"/>
              <w:rPr>
                <w:rFonts w:hint="eastAsia" w:ascii="仿宋" w:hAnsi="仿宋" w:eastAsia="仿宋" w:cs="仿宋"/>
              </w:rPr>
            </w:pPr>
          </w:p>
        </w:tc>
        <w:tc>
          <w:tcPr>
            <w:tcW w:w="990" w:type="dxa"/>
            <w:tcBorders>
              <w:left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5.3 答辩实施</w:t>
            </w:r>
          </w:p>
        </w:tc>
        <w:tc>
          <w:tcPr>
            <w:tcW w:w="6849" w:type="dxa"/>
            <w:noWrap w:val="0"/>
            <w:vAlign w:val="center"/>
          </w:tcPr>
          <w:p>
            <w:pPr>
              <w:ind w:firstLine="440" w:firstLineChars="200"/>
              <w:jc w:val="both"/>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严格按照答辩程序，维护答辩纪律，保持答辩过程的学术性、严肃性和真实性，并做好答辩过程的记录。</w:t>
            </w:r>
          </w:p>
          <w:p>
            <w:pPr>
              <w:ind w:firstLine="440" w:firstLineChars="200"/>
              <w:jc w:val="both"/>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学生陈述能简明扼要阐述论文主要内容，思路清晰，语言表达准确、顺畅，分析归纳科学、合理，结论严谨；回答问题有理论根据，基本概念清楚，逻辑性强，能抓住要点，对主要问题回答准确、有深度；仪态端庄，自然得体。</w:t>
            </w:r>
          </w:p>
          <w:p>
            <w:pPr>
              <w:ind w:firstLine="440" w:firstLineChars="200"/>
              <w:jc w:val="both"/>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答辩委员会（小组）成员能认真质疑，结合论文（设计）提问，所提问题有深度、有效果，对每位学生所提问题不少于3个。</w:t>
            </w:r>
          </w:p>
          <w:p>
            <w:pPr>
              <w:ind w:firstLine="440" w:firstLineChars="200"/>
              <w:jc w:val="both"/>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实施指导教师回避制度。</w:t>
            </w:r>
          </w:p>
          <w:p>
            <w:pPr>
              <w:ind w:firstLine="440" w:firstLineChars="200"/>
              <w:jc w:val="both"/>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优秀毕业论文（设计）应由答辩委员会组织二次答辩，集体评议。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6" w:hRule="atLeast"/>
        </w:trPr>
        <w:tc>
          <w:tcPr>
            <w:tcW w:w="773" w:type="dxa"/>
            <w:vMerge w:val="continue"/>
            <w:tcBorders>
              <w:top w:val="nil"/>
              <w:right w:val="single" w:color="000000" w:sz="4" w:space="0"/>
            </w:tcBorders>
            <w:noWrap w:val="0"/>
            <w:vAlign w:val="center"/>
          </w:tcPr>
          <w:p>
            <w:pPr>
              <w:jc w:val="both"/>
              <w:rPr>
                <w:rFonts w:hint="eastAsia" w:ascii="仿宋" w:hAnsi="仿宋" w:eastAsia="仿宋" w:cs="仿宋"/>
              </w:rPr>
            </w:pPr>
          </w:p>
        </w:tc>
        <w:tc>
          <w:tcPr>
            <w:tcW w:w="990" w:type="dxa"/>
            <w:tcBorders>
              <w:left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5.4 成绩评定</w:t>
            </w:r>
          </w:p>
        </w:tc>
        <w:tc>
          <w:tcPr>
            <w:tcW w:w="6849" w:type="dxa"/>
            <w:noWrap w:val="0"/>
            <w:vAlign w:val="center"/>
          </w:tcPr>
          <w:p>
            <w:pPr>
              <w:ind w:firstLine="440" w:firstLineChars="200"/>
              <w:jc w:val="both"/>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答辩委员会（小组）评定答辩成绩，评定内容包括论文质量和答辩水平。评定成绩要真实反映学生在论文（设计）撰写和答辩中的水平和能力，有针对性地给出客观评语。</w:t>
            </w:r>
          </w:p>
          <w:p>
            <w:pPr>
              <w:ind w:firstLine="440" w:firstLineChars="200"/>
              <w:jc w:val="both"/>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毕业论文（设计）的成绩评定采用百分制，最终综合成绩由指导教师评分、评阅教师评分和答辩成绩三项按权重组合而成，其中指导教师评分占30</w:t>
            </w:r>
            <w:r>
              <w:rPr>
                <w:rFonts w:hint="eastAsia" w:ascii="仿宋" w:hAnsi="仿宋" w:eastAsia="仿宋" w:cs="仿宋"/>
                <w:lang w:val="en-US" w:eastAsia="zh-CN"/>
              </w:rPr>
              <w:t>%</w:t>
            </w:r>
            <w:r>
              <w:rPr>
                <w:rFonts w:hint="eastAsia" w:ascii="仿宋" w:hAnsi="仿宋" w:eastAsia="仿宋" w:cs="仿宋"/>
              </w:rPr>
              <w:t>，评阅教师评分占</w:t>
            </w:r>
            <w:r>
              <w:rPr>
                <w:rFonts w:hint="eastAsia" w:ascii="仿宋" w:hAnsi="仿宋" w:eastAsia="仿宋" w:cs="仿宋"/>
                <w:lang w:val="en-US" w:eastAsia="zh-CN"/>
              </w:rPr>
              <w:t>3</w:t>
            </w:r>
            <w:r>
              <w:rPr>
                <w:rFonts w:hint="eastAsia" w:ascii="仿宋" w:hAnsi="仿宋" w:eastAsia="仿宋" w:cs="仿宋"/>
              </w:rPr>
              <w:t>0</w:t>
            </w:r>
            <w:r>
              <w:rPr>
                <w:rFonts w:hint="eastAsia" w:ascii="仿宋" w:hAnsi="仿宋" w:eastAsia="仿宋" w:cs="仿宋"/>
                <w:lang w:val="en-US" w:eastAsia="zh-CN"/>
              </w:rPr>
              <w:t>%</w:t>
            </w:r>
            <w:r>
              <w:rPr>
                <w:rFonts w:hint="eastAsia" w:ascii="仿宋" w:hAnsi="仿宋" w:eastAsia="仿宋" w:cs="仿宋"/>
              </w:rPr>
              <w:t>，答辩成绩占</w:t>
            </w:r>
            <w:r>
              <w:rPr>
                <w:rFonts w:hint="eastAsia" w:ascii="仿宋" w:hAnsi="仿宋" w:eastAsia="仿宋" w:cs="仿宋"/>
                <w:lang w:val="en-US" w:eastAsia="zh-CN"/>
              </w:rPr>
              <w:t>4</w:t>
            </w:r>
            <w:r>
              <w:rPr>
                <w:rFonts w:hint="eastAsia" w:ascii="仿宋" w:hAnsi="仿宋" w:eastAsia="仿宋" w:cs="仿宋"/>
              </w:rPr>
              <w:t>0</w:t>
            </w:r>
            <w:r>
              <w:rPr>
                <w:rFonts w:hint="eastAsia" w:ascii="仿宋" w:hAnsi="仿宋" w:eastAsia="仿宋" w:cs="仿宋"/>
                <w:lang w:val="en-US" w:eastAsia="zh-CN"/>
              </w:rPr>
              <w:t>%</w:t>
            </w:r>
            <w:r>
              <w:rPr>
                <w:rFonts w:hint="eastAsia" w:ascii="仿宋" w:hAnsi="仿宋" w:eastAsia="仿宋" w:cs="仿宋"/>
              </w:rPr>
              <w:t>。</w:t>
            </w:r>
          </w:p>
          <w:p>
            <w:pPr>
              <w:ind w:firstLine="440" w:firstLineChars="200"/>
              <w:jc w:val="both"/>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优秀毕业论文综合成绩大于等于90分，比例控制在</w:t>
            </w:r>
            <w:r>
              <w:rPr>
                <w:rFonts w:hint="eastAsia" w:ascii="仿宋" w:hAnsi="仿宋" w:eastAsia="仿宋" w:cs="仿宋"/>
                <w:lang w:val="en-US" w:eastAsia="zh-CN"/>
              </w:rPr>
              <w:t>3%左右</w:t>
            </w:r>
            <w:r>
              <w:rPr>
                <w:rFonts w:hint="eastAsia" w:ascii="仿宋" w:hAnsi="仿宋" w:eastAsia="仿宋" w:cs="仿宋"/>
              </w:rPr>
              <w:t>。</w:t>
            </w:r>
          </w:p>
          <w:p>
            <w:pPr>
              <w:ind w:firstLine="440" w:firstLineChars="200"/>
              <w:jc w:val="both"/>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各学院应将成绩评定结果进行公示。</w:t>
            </w:r>
          </w:p>
          <w:p>
            <w:pPr>
              <w:ind w:firstLine="440" w:firstLineChars="200"/>
              <w:jc w:val="both"/>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答辩成绩不合格的学生，学院需根据具体情况决定是否组织二次答辩。对二次答辩的学生，学院应组织学生按答辩修改意见完成论文修改，通过盲评评阅，并经毕业论文（设计）的复制比检测环节检测合格后方可进入二次答辩。参加二次答辩的学生论文总评成绩不得超过75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0" w:hRule="atLeast"/>
        </w:trPr>
        <w:tc>
          <w:tcPr>
            <w:tcW w:w="773" w:type="dxa"/>
            <w:vMerge w:val="restart"/>
            <w:tcBorders>
              <w:right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6.总结评优</w:t>
            </w:r>
          </w:p>
        </w:tc>
        <w:tc>
          <w:tcPr>
            <w:tcW w:w="990" w:type="dxa"/>
            <w:tcBorders>
              <w:left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6.1 评优</w:t>
            </w:r>
          </w:p>
        </w:tc>
        <w:tc>
          <w:tcPr>
            <w:tcW w:w="6849" w:type="dxa"/>
            <w:tcBorders>
              <w:bottom w:val="single" w:color="000000" w:sz="4" w:space="0"/>
            </w:tcBorders>
            <w:noWrap w:val="0"/>
            <w:vAlign w:val="center"/>
          </w:tcPr>
          <w:p>
            <w:pPr>
              <w:ind w:firstLine="440" w:firstLineChars="200"/>
              <w:jc w:val="both"/>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答辩工作结束后，各二级学院遴选成绩评定为“优秀”的毕业论文（设计）参加学校组织的优秀毕业论文（设计）的评选。</w:t>
            </w:r>
          </w:p>
          <w:p>
            <w:pPr>
              <w:ind w:firstLine="440" w:firstLineChars="200"/>
              <w:jc w:val="both"/>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优秀论文（设计）评选采取现场答辩和评阅毕业论文（设计）材料相结合的方式进行。</w:t>
            </w:r>
          </w:p>
          <w:p>
            <w:pPr>
              <w:ind w:firstLine="440" w:firstLineChars="200"/>
              <w:jc w:val="both"/>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获奖论文（设计）由学校汇总收入学校优秀毕业论文（设计）汇编，并对指导教师和学生进行表彰。</w:t>
            </w:r>
          </w:p>
          <w:p>
            <w:pPr>
              <w:ind w:firstLine="440" w:firstLineChars="200"/>
              <w:jc w:val="both"/>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优秀论文（设计）的比例不应超过论文（设计）总数的</w:t>
            </w:r>
            <w:r>
              <w:rPr>
                <w:rFonts w:hint="eastAsia" w:ascii="仿宋" w:hAnsi="仿宋" w:eastAsia="仿宋" w:cs="仿宋"/>
                <w:lang w:val="en-US" w:eastAsia="zh-CN"/>
              </w:rPr>
              <w:t>3%</w:t>
            </w:r>
            <w:r>
              <w:rPr>
                <w:rFonts w:hint="eastAsia" w:ascii="仿宋" w:hAnsi="仿宋" w:eastAsia="仿宋" w:cs="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7" w:hRule="atLeast"/>
        </w:trPr>
        <w:tc>
          <w:tcPr>
            <w:tcW w:w="773" w:type="dxa"/>
            <w:vMerge w:val="continue"/>
            <w:tcBorders>
              <w:bottom w:val="single" w:color="000000" w:sz="4" w:space="0"/>
              <w:right w:val="single" w:color="000000" w:sz="4" w:space="0"/>
            </w:tcBorders>
            <w:noWrap w:val="0"/>
            <w:vAlign w:val="center"/>
          </w:tcPr>
          <w:p>
            <w:pPr>
              <w:jc w:val="both"/>
              <w:rPr>
                <w:rFonts w:hint="eastAsia" w:ascii="仿宋" w:hAnsi="仿宋" w:eastAsia="仿宋" w:cs="仿宋"/>
              </w:rPr>
            </w:pPr>
          </w:p>
        </w:tc>
        <w:tc>
          <w:tcPr>
            <w:tcW w:w="990" w:type="dxa"/>
            <w:tcBorders>
              <w:top w:val="single" w:color="000000" w:sz="4" w:space="0"/>
              <w:left w:val="single" w:color="000000" w:sz="4" w:space="0"/>
              <w:bottom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6.2 总结</w:t>
            </w:r>
          </w:p>
        </w:tc>
        <w:tc>
          <w:tcPr>
            <w:tcW w:w="6849" w:type="dxa"/>
            <w:tcBorders>
              <w:top w:val="single" w:color="000000" w:sz="4" w:space="0"/>
              <w:bottom w:val="single" w:color="000000" w:sz="4" w:space="0"/>
            </w:tcBorders>
            <w:noWrap w:val="0"/>
            <w:vAlign w:val="center"/>
          </w:tcPr>
          <w:p>
            <w:pPr>
              <w:ind w:firstLine="440" w:firstLineChars="200"/>
              <w:jc w:val="both"/>
              <w:rPr>
                <w:rFonts w:hint="eastAsia" w:ascii="仿宋" w:hAnsi="仿宋" w:eastAsia="仿宋" w:cs="仿宋"/>
              </w:rPr>
            </w:pPr>
            <w:r>
              <w:rPr>
                <w:rFonts w:hint="eastAsia" w:ascii="仿宋" w:hAnsi="仿宋" w:eastAsia="仿宋" w:cs="仿宋"/>
              </w:rPr>
              <w:t>各二级学院在答辩结束后填写《成都文理学院毕业论文（设计）信息汇总表》及有关毕业论文（设计）统计表，撰写工作总结和分专业的质量分析报告，报告符合毕业论文（设计）工作实际情况，并指出毕业论文（设计）工作中的存在问题和整改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0" w:hRule="atLeast"/>
        </w:trPr>
        <w:tc>
          <w:tcPr>
            <w:tcW w:w="773" w:type="dxa"/>
            <w:vMerge w:val="restart"/>
            <w:tcBorders>
              <w:top w:val="single" w:color="000000" w:sz="4" w:space="0"/>
              <w:bottom w:val="single" w:color="000000" w:sz="4" w:space="0"/>
              <w:right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7.归档质量</w:t>
            </w:r>
          </w:p>
        </w:tc>
        <w:tc>
          <w:tcPr>
            <w:tcW w:w="990" w:type="dxa"/>
            <w:tcBorders>
              <w:top w:val="single" w:color="000000" w:sz="4" w:space="0"/>
              <w:left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7.1 过程材料归档</w:t>
            </w:r>
          </w:p>
        </w:tc>
        <w:tc>
          <w:tcPr>
            <w:tcW w:w="6849" w:type="dxa"/>
            <w:tcBorders>
              <w:top w:val="single" w:color="000000" w:sz="4" w:space="0"/>
              <w:bottom w:val="single" w:color="000000" w:sz="4" w:space="0"/>
            </w:tcBorders>
            <w:noWrap w:val="0"/>
            <w:vAlign w:val="center"/>
          </w:tcPr>
          <w:p>
            <w:pPr>
              <w:ind w:firstLine="440" w:firstLineChars="200"/>
              <w:jc w:val="both"/>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各学院毕业论文（设计）各项过程表格内容填写完整，符合规范。</w:t>
            </w:r>
          </w:p>
          <w:p>
            <w:pPr>
              <w:ind w:firstLine="440" w:firstLineChars="200"/>
              <w:jc w:val="both"/>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各学院毕业论文（设计）的档案材料齐全，能体现毕业论文（设计）工作过程，包括电子和纸质档案两种形式。</w:t>
            </w:r>
          </w:p>
          <w:p>
            <w:pPr>
              <w:ind w:firstLine="440" w:firstLineChars="200"/>
              <w:jc w:val="both"/>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毕业论文（设计）工作过程性材料存档工作及时，档案规范。电子档案的索引清晰、完整，纸质档案归档顺序统一，内容完整。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773" w:type="dxa"/>
            <w:vMerge w:val="continue"/>
            <w:tcBorders>
              <w:top w:val="nil"/>
              <w:bottom w:val="single" w:color="000000" w:sz="4" w:space="0"/>
              <w:right w:val="single" w:color="000000" w:sz="4" w:space="0"/>
            </w:tcBorders>
            <w:noWrap w:val="0"/>
            <w:vAlign w:val="center"/>
          </w:tcPr>
          <w:p>
            <w:pPr>
              <w:jc w:val="both"/>
              <w:rPr>
                <w:rFonts w:hint="eastAsia" w:ascii="仿宋" w:hAnsi="仿宋" w:eastAsia="仿宋" w:cs="仿宋"/>
              </w:rPr>
            </w:pPr>
          </w:p>
        </w:tc>
        <w:tc>
          <w:tcPr>
            <w:tcW w:w="990" w:type="dxa"/>
            <w:tcBorders>
              <w:left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7.2 论文（设计）装订</w:t>
            </w:r>
          </w:p>
        </w:tc>
        <w:tc>
          <w:tcPr>
            <w:tcW w:w="6849" w:type="dxa"/>
            <w:tcBorders>
              <w:top w:val="single" w:color="000000" w:sz="4" w:space="0"/>
            </w:tcBorders>
            <w:noWrap w:val="0"/>
            <w:vAlign w:val="center"/>
          </w:tcPr>
          <w:p>
            <w:pPr>
              <w:ind w:firstLine="440" w:firstLineChars="200"/>
              <w:jc w:val="both"/>
              <w:rPr>
                <w:rFonts w:hint="eastAsia" w:ascii="仿宋" w:hAnsi="仿宋" w:eastAsia="仿宋" w:cs="仿宋"/>
              </w:rPr>
            </w:pPr>
            <w:r>
              <w:rPr>
                <w:rFonts w:hint="eastAsia" w:ascii="仿宋" w:hAnsi="仿宋" w:eastAsia="仿宋" w:cs="仿宋"/>
              </w:rPr>
              <w:t>毕业论文（设计）统一采用A4纸、统一的封面格式胶装，装订顺序及要求符合</w:t>
            </w:r>
            <w:r>
              <w:rPr>
                <w:rFonts w:hint="eastAsia" w:ascii="仿宋" w:hAnsi="仿宋" w:eastAsia="仿宋" w:cs="仿宋"/>
                <w:lang w:eastAsia="zh-CN"/>
              </w:rPr>
              <w:t>《成都文理学院毕业论文（设计）撰写、编辑、印制规范》</w:t>
            </w:r>
            <w:r>
              <w:rPr>
                <w:rFonts w:hint="eastAsia" w:ascii="仿宋" w:hAnsi="仿宋" w:eastAsia="仿宋" w:cs="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3" w:hRule="atLeast"/>
        </w:trPr>
        <w:tc>
          <w:tcPr>
            <w:tcW w:w="773" w:type="dxa"/>
            <w:vMerge w:val="continue"/>
            <w:tcBorders>
              <w:top w:val="nil"/>
              <w:bottom w:val="single" w:color="000000" w:sz="4" w:space="0"/>
              <w:right w:val="single" w:color="000000" w:sz="4" w:space="0"/>
            </w:tcBorders>
            <w:noWrap w:val="0"/>
            <w:vAlign w:val="center"/>
          </w:tcPr>
          <w:p>
            <w:pPr>
              <w:jc w:val="both"/>
              <w:rPr>
                <w:rFonts w:hint="eastAsia" w:ascii="仿宋" w:hAnsi="仿宋" w:eastAsia="仿宋" w:cs="仿宋"/>
              </w:rPr>
            </w:pPr>
          </w:p>
        </w:tc>
        <w:tc>
          <w:tcPr>
            <w:tcW w:w="990" w:type="dxa"/>
            <w:tcBorders>
              <w:left w:val="single" w:color="000000" w:sz="4" w:space="0"/>
              <w:bottom w:val="single" w:color="000000" w:sz="4" w:space="0"/>
            </w:tcBorders>
            <w:noWrap w:val="0"/>
            <w:vAlign w:val="center"/>
          </w:tcPr>
          <w:p>
            <w:pPr>
              <w:jc w:val="both"/>
              <w:rPr>
                <w:rFonts w:hint="eastAsia" w:ascii="仿宋" w:hAnsi="仿宋" w:eastAsia="仿宋" w:cs="仿宋"/>
              </w:rPr>
            </w:pPr>
            <w:r>
              <w:rPr>
                <w:rFonts w:hint="eastAsia" w:ascii="仿宋" w:hAnsi="仿宋" w:eastAsia="仿宋" w:cs="仿宋"/>
              </w:rPr>
              <w:t>7.3 论文（设计）归档</w:t>
            </w:r>
          </w:p>
        </w:tc>
        <w:tc>
          <w:tcPr>
            <w:tcW w:w="6849" w:type="dxa"/>
            <w:tcBorders>
              <w:bottom w:val="single" w:color="000000" w:sz="4" w:space="0"/>
            </w:tcBorders>
            <w:noWrap w:val="0"/>
            <w:vAlign w:val="center"/>
          </w:tcPr>
          <w:p>
            <w:pPr>
              <w:ind w:firstLine="440" w:firstLineChars="200"/>
              <w:jc w:val="both"/>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毕业论文（设计）的存档分电子和纸质档案两种。</w:t>
            </w:r>
          </w:p>
          <w:p>
            <w:pPr>
              <w:ind w:firstLine="440" w:firstLineChars="200"/>
              <w:jc w:val="both"/>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毕业论文（设计）归档的内容包括任务书、开题报告、中期检查表、指导记录表、成绩</w:t>
            </w:r>
            <w:r>
              <w:rPr>
                <w:rFonts w:hint="eastAsia" w:ascii="仿宋" w:hAnsi="仿宋" w:eastAsia="仿宋" w:cs="仿宋"/>
                <w:lang w:val="en-US" w:eastAsia="zh-CN"/>
              </w:rPr>
              <w:t>评定</w:t>
            </w:r>
            <w:r>
              <w:rPr>
                <w:rFonts w:hint="eastAsia" w:ascii="仿宋" w:hAnsi="仿宋" w:eastAsia="仿宋" w:cs="仿宋"/>
              </w:rPr>
              <w:t>表、毕业论文（设计）原件等材料。</w:t>
            </w:r>
          </w:p>
          <w:p>
            <w:pPr>
              <w:ind w:firstLine="440" w:firstLineChars="200"/>
              <w:jc w:val="both"/>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毕业论文（设计）电子材料刻录成光盘，按学校规定的顺序和命名规则，以学号为文件名形成电子档案；纸质档案需将毕业论文（设计）电子材料打印，装订成册,与毕业论文（设计）原件,按学校规定的顺序和命名规则，装入一生一档案袋中，由各学院统一保存。</w:t>
            </w:r>
          </w:p>
        </w:tc>
      </w:tr>
    </w:tbl>
    <w:p/>
    <w:p/>
    <w:p/>
    <w:p/>
    <w:p/>
    <w:sectPr>
      <w:headerReference r:id="rId5" w:type="default"/>
      <w:footerReference r:id="rId6" w:type="default"/>
      <w:pgSz w:w="11906" w:h="16838"/>
      <w:pgMar w:top="1440" w:right="1080" w:bottom="1440" w:left="108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6483350</wp:posOffset>
              </wp:positionH>
              <wp:positionV relativeFrom="page">
                <wp:posOffset>10005695</wp:posOffset>
              </wp:positionV>
              <wp:extent cx="203200" cy="177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03200" cy="177800"/>
                      </a:xfrm>
                      <a:prstGeom prst="rect">
                        <a:avLst/>
                      </a:prstGeom>
                      <a:noFill/>
                      <a:ln>
                        <a:noFill/>
                      </a:ln>
                      <a:effectLst/>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11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0.5pt;margin-top:787.85pt;height:14pt;width:16pt;mso-position-horizontal-relative:page;mso-position-vertical-relative:page;z-index:-251657216;mso-width-relative:page;mso-height-relative:page;" filled="f" stroked="f" coordsize="21600,21600" o:gfxdata="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PQq6B2gAAAA8BAAAPAAAAAAAAAAEAIAAAACIAAABkcnMvZG93bnJldi54bWxQ&#10;SwECFAAUAAAACACHTuJAIqsRSrwBAAB/AwAADgAAAAAAAAABACAAAAApAQAAZHJzL2Uyb0RvYy54&#10;bWxQSwUGAAAAAAYABgBZAQAAVwU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MjQ1ZWQyYzdlYjI3Zjk2ZDJlZDUwODE3ZTRmNDcifQ=="/>
  </w:docVars>
  <w:rsids>
    <w:rsidRoot w:val="00000000"/>
    <w:rsid w:val="2AB542F9"/>
    <w:rsid w:val="360033F0"/>
    <w:rsid w:val="3D577DCF"/>
    <w:rsid w:val="665D707E"/>
    <w:rsid w:val="7A3A6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4852</Words>
  <Characters>5015</Characters>
  <Lines>0</Lines>
  <Paragraphs>0</Paragraphs>
  <TotalTime>0</TotalTime>
  <ScaleCrop>false</ScaleCrop>
  <LinksUpToDate>false</LinksUpToDate>
  <CharactersWithSpaces>5043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2022-07-11T09:16:00Z</dcterms:created>
  <dc:creator>admin</dc:creator>
  <cp:lastModifiedBy>王雄</cp:lastModifiedBy>
  <dcterms:modified xsi:type="dcterms:W3CDTF">2022-07-20T09:07:04Z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EEC53543FAC9420FA613666BF06A58C4</vt:lpwstr>
  </property>
</Properties>
</file>