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562" w:firstLineChars="100"/>
        <w:jc w:val="center"/>
        <w:rPr>
          <w:rFonts w:hint="eastAsia" w:ascii="宋体" w:hAnsi="宋体"/>
          <w:b/>
          <w:sz w:val="56"/>
          <w:szCs w:val="52"/>
        </w:rPr>
      </w:pPr>
      <w:bookmarkStart w:id="0" w:name="_Toc4070"/>
      <w:r>
        <w:rPr>
          <w:rFonts w:ascii="宋体" w:hAnsi="宋体"/>
          <w:b/>
          <w:sz w:val="56"/>
          <w:szCs w:val="52"/>
        </w:rPr>
        <w:drawing>
          <wp:inline distT="0" distB="0" distL="114300" distR="114300">
            <wp:extent cx="3181350" cy="1009650"/>
            <wp:effectExtent l="0" t="0" r="19050" b="6350"/>
            <wp:docPr id="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100"/>
        <w:rPr>
          <w:rFonts w:ascii="宋体" w:hAnsi="宋体"/>
          <w:b/>
          <w:sz w:val="56"/>
          <w:szCs w:val="52"/>
        </w:rPr>
      </w:pPr>
      <w:r>
        <w:rPr>
          <w:rFonts w:hint="eastAsia" w:ascii="宋体" w:hAnsi="宋体"/>
          <w:b/>
          <w:sz w:val="56"/>
          <w:szCs w:val="52"/>
        </w:rPr>
        <w:t>维普毕业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论文</w:t>
      </w:r>
      <w:r>
        <w:rPr>
          <w:rFonts w:hint="eastAsia" w:ascii="宋体" w:hAnsi="宋体"/>
          <w:b/>
          <w:sz w:val="56"/>
          <w:szCs w:val="52"/>
        </w:rPr>
        <w:t>（</w:t>
      </w:r>
      <w:r>
        <w:rPr>
          <w:rFonts w:hint="eastAsia" w:ascii="宋体" w:hAnsi="宋体"/>
          <w:b/>
          <w:sz w:val="56"/>
          <w:szCs w:val="52"/>
          <w:lang w:val="en-US" w:eastAsia="zh-CN"/>
        </w:rPr>
        <w:t>设计</w:t>
      </w:r>
      <w:r>
        <w:rPr>
          <w:rFonts w:hint="eastAsia" w:ascii="宋体" w:hAnsi="宋体"/>
          <w:b/>
          <w:sz w:val="56"/>
          <w:szCs w:val="52"/>
        </w:rPr>
        <w:t>）管理系统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outlineLvl w:val="0"/>
        <w:rPr>
          <w:rFonts w:ascii="宋体" w:hAnsi="宋体"/>
          <w:b/>
          <w:sz w:val="56"/>
          <w:szCs w:val="52"/>
        </w:rPr>
      </w:pPr>
      <w:bookmarkStart w:id="1" w:name="_Toc1287"/>
      <w:r>
        <w:rPr>
          <w:rFonts w:hint="eastAsia" w:ascii="宋体" w:hAnsi="宋体"/>
          <w:b/>
          <w:sz w:val="56"/>
          <w:szCs w:val="52"/>
        </w:rPr>
        <w:t>用户操作手册</w:t>
      </w:r>
      <w:bookmarkEnd w:id="1"/>
    </w:p>
    <w:p>
      <w:pPr>
        <w:jc w:val="center"/>
        <w:rPr>
          <w:rFonts w:ascii="宋体" w:hAnsi="宋体"/>
          <w:b/>
          <w:sz w:val="48"/>
          <w:szCs w:val="52"/>
        </w:rPr>
      </w:pPr>
      <w:r>
        <w:rPr>
          <w:rFonts w:hint="eastAsia" w:ascii="宋体" w:hAnsi="宋体"/>
          <w:b/>
          <w:sz w:val="48"/>
          <w:szCs w:val="52"/>
        </w:rPr>
        <w:t>（</w:t>
      </w:r>
      <w:r>
        <w:rPr>
          <w:rFonts w:hint="eastAsia" w:ascii="宋体" w:hAnsi="宋体"/>
          <w:b/>
          <w:sz w:val="48"/>
          <w:szCs w:val="52"/>
          <w:lang w:val="en-US" w:eastAsia="zh-CN"/>
        </w:rPr>
        <w:t>学校管理员</w:t>
      </w:r>
      <w:r>
        <w:rPr>
          <w:rFonts w:ascii="宋体" w:hAnsi="宋体"/>
          <w:b/>
          <w:sz w:val="48"/>
          <w:u w:color="auto"/>
        </w:rPr>
        <w:t>角色</w:t>
      </w:r>
      <w:r>
        <w:rPr>
          <w:rFonts w:hint="eastAsia" w:ascii="宋体" w:hAnsi="宋体"/>
          <w:b/>
          <w:sz w:val="48"/>
          <w:szCs w:val="52"/>
        </w:rPr>
        <w:t>）</w:t>
      </w: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rPr>
          <w:rFonts w:ascii="宋体" w:hAnsi="宋体"/>
        </w:rPr>
      </w:pPr>
    </w:p>
    <w:p>
      <w:pPr>
        <w:jc w:val="center"/>
        <w:rPr>
          <w:rFonts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t>重庆泛语科技有限公司</w:t>
      </w:r>
    </w:p>
    <w:p>
      <w:pPr>
        <w:jc w:val="center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/>
          <w:sz w:val="30"/>
          <w:szCs w:val="30"/>
          <w:lang w:val="en-US" w:eastAsia="zh-CN"/>
        </w:rPr>
        <w:t>二〇二四年四月二十四日</w:t>
      </w:r>
    </w:p>
    <w:p>
      <w:pPr>
        <w:rPr>
          <w:rFonts w:hint="eastAsia" w:ascii="宋体" w:hAnsi="宋体"/>
          <w:sz w:val="30"/>
          <w:szCs w:val="30"/>
        </w:rPr>
      </w:pPr>
      <w:r>
        <w:rPr>
          <w:rFonts w:hint="eastAsia" w:ascii="宋体" w:hAnsi="宋体"/>
          <w:sz w:val="30"/>
          <w:szCs w:val="30"/>
        </w:rPr>
        <w:br w:type="page"/>
      </w:r>
    </w:p>
    <w:p>
      <w:pPr>
        <w:bidi w:val="0"/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目 录</w:t>
      </w:r>
    </w:p>
    <w:p>
      <w:pPr>
        <w:pStyle w:val="9"/>
        <w:tabs>
          <w:tab w:val="right" w:leader="dot" w:pos="8306"/>
        </w:tabs>
      </w:pPr>
      <w:r>
        <w:fldChar w:fldCharType="begin"/>
      </w:r>
      <w:r>
        <w:instrText xml:space="preserve">TOC \o</w:instrText>
      </w:r>
      <w:r>
        <w:fldChar w:fldCharType="separate"/>
      </w:r>
      <w:r>
        <w:rPr>
          <w:rFonts w:hint="default"/>
        </w:rPr>
        <w:t xml:space="preserve">一、 </w:t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_Toc4603 \h </w:instrText>
      </w:r>
      <w:r>
        <w:fldChar w:fldCharType="separate"/>
      </w:r>
      <w:r>
        <w:t>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/>
        </w:rPr>
        <w:t xml:space="preserve">二、 </w:t>
      </w:r>
      <w:r>
        <w:rPr>
          <w:rFonts w:hint="eastAsia"/>
        </w:rPr>
        <w:t>个人设置</w:t>
      </w:r>
      <w:r>
        <w:tab/>
      </w:r>
      <w:r>
        <w:fldChar w:fldCharType="begin"/>
      </w:r>
      <w:r>
        <w:instrText xml:space="preserve"> PAGEREF _Toc28809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1、个人信息</w:t>
      </w:r>
      <w:r>
        <w:tab/>
      </w:r>
      <w:r>
        <w:fldChar w:fldCharType="begin"/>
      </w:r>
      <w:r>
        <w:instrText xml:space="preserve"> PAGEREF _Toc13441 \h </w:instrText>
      </w:r>
      <w:r>
        <w:fldChar w:fldCharType="separate"/>
      </w:r>
      <w:r>
        <w:t>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2、安全中心</w:t>
      </w:r>
      <w:r>
        <w:tab/>
      </w:r>
      <w:r>
        <w:fldChar w:fldCharType="begin"/>
      </w:r>
      <w:r>
        <w:instrText xml:space="preserve"> PAGEREF _Toc18914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default" w:ascii="Calibri" w:hAnsi="Calibri" w:eastAsia="宋体" w:cs="Times New Roman"/>
          <w:lang w:val="en-US" w:eastAsia="zh-CN"/>
        </w:rPr>
        <w:t xml:space="preserve">三、 </w:t>
      </w:r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r>
        <w:tab/>
      </w:r>
      <w:r>
        <w:fldChar w:fldCharType="begin"/>
      </w:r>
      <w:r>
        <w:instrText xml:space="preserve"> PAGEREF _Toc9556 \h </w:instrText>
      </w:r>
      <w:r>
        <w:fldChar w:fldCharType="separate"/>
      </w:r>
      <w:r>
        <w:t>5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1.基础设置</w:t>
      </w:r>
      <w:r>
        <w:tab/>
      </w:r>
      <w:r>
        <w:fldChar w:fldCharType="begin"/>
      </w:r>
      <w:r>
        <w:instrText xml:space="preserve"> PAGEREF _Toc16878 \h </w:instrText>
      </w:r>
      <w:r>
        <w:fldChar w:fldCharType="separate"/>
      </w:r>
      <w:r>
        <w:t>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1.1业务设置</w:t>
      </w:r>
      <w:r>
        <w:tab/>
      </w:r>
      <w:r>
        <w:fldChar w:fldCharType="begin"/>
      </w:r>
      <w:r>
        <w:instrText xml:space="preserve"> PAGEREF _Toc6715 \h </w:instrText>
      </w:r>
      <w:r>
        <w:fldChar w:fldCharType="separate"/>
      </w:r>
      <w:r>
        <w:t>7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1.1.1流程节点时间</w:t>
      </w:r>
      <w:r>
        <w:tab/>
      </w:r>
      <w:r>
        <w:fldChar w:fldCharType="begin"/>
      </w:r>
      <w:r>
        <w:instrText xml:space="preserve"> PAGEREF _Toc5687 \h </w:instrText>
      </w:r>
      <w:r>
        <w:fldChar w:fldCharType="separate"/>
      </w:r>
      <w:r>
        <w:t>7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2.组织账号管理</w:t>
      </w:r>
      <w:r>
        <w:tab/>
      </w:r>
      <w:r>
        <w:fldChar w:fldCharType="begin"/>
      </w:r>
      <w:r>
        <w:instrText xml:space="preserve"> PAGEREF _Toc9742 \h </w:instrText>
      </w:r>
      <w:r>
        <w:fldChar w:fldCharType="separate"/>
      </w:r>
      <w:r>
        <w:t>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2.1组织架构</w:t>
      </w:r>
      <w:r>
        <w:tab/>
      </w:r>
      <w:r>
        <w:fldChar w:fldCharType="begin"/>
      </w:r>
      <w:r>
        <w:instrText xml:space="preserve"> PAGEREF _Toc29657 \h </w:instrText>
      </w:r>
      <w:r>
        <w:fldChar w:fldCharType="separate"/>
      </w:r>
      <w:r>
        <w:t>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2.2账号管理</w:t>
      </w:r>
      <w:r>
        <w:tab/>
      </w:r>
      <w:r>
        <w:fldChar w:fldCharType="begin"/>
      </w:r>
      <w:r>
        <w:instrText xml:space="preserve"> PAGEREF _Toc14454 \h </w:instrText>
      </w:r>
      <w:r>
        <w:fldChar w:fldCharType="separate"/>
      </w:r>
      <w:r>
        <w:t>9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2.2.1学生管理</w:t>
      </w:r>
      <w:r>
        <w:tab/>
      </w:r>
      <w:r>
        <w:fldChar w:fldCharType="begin"/>
      </w:r>
      <w:r>
        <w:instrText xml:space="preserve"> PAGEREF _Toc11989 \h </w:instrText>
      </w:r>
      <w:r>
        <w:fldChar w:fldCharType="separate"/>
      </w:r>
      <w:r>
        <w:t>9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2.2.2教师管理</w:t>
      </w:r>
      <w:r>
        <w:tab/>
      </w:r>
      <w:r>
        <w:fldChar w:fldCharType="begin"/>
      </w:r>
      <w:r>
        <w:instrText xml:space="preserve"> PAGEREF _Toc21635 \h </w:instrText>
      </w:r>
      <w:r>
        <w:fldChar w:fldCharType="separate"/>
      </w:r>
      <w:r>
        <w:t>10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3.检测管理</w:t>
      </w:r>
      <w:r>
        <w:tab/>
      </w:r>
      <w:r>
        <w:fldChar w:fldCharType="begin"/>
      </w:r>
      <w:r>
        <w:instrText xml:space="preserve"> PAGEREF _Toc2246 \h </w:instrText>
      </w:r>
      <w:r>
        <w:fldChar w:fldCharType="separate"/>
      </w:r>
      <w:r>
        <w:t>12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3.1检测次数分配</w:t>
      </w:r>
      <w:r>
        <w:tab/>
      </w:r>
      <w:r>
        <w:fldChar w:fldCharType="begin"/>
      </w:r>
      <w:r>
        <w:instrText xml:space="preserve"> PAGEREF _Toc32011 \h </w:instrText>
      </w:r>
      <w:r>
        <w:fldChar w:fldCharType="separate"/>
      </w:r>
      <w:r>
        <w:t>12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3.1.1给学生分配检测次数</w:t>
      </w:r>
      <w:r>
        <w:tab/>
      </w:r>
      <w:r>
        <w:fldChar w:fldCharType="begin"/>
      </w:r>
      <w:r>
        <w:instrText xml:space="preserve"> PAGEREF _Toc10820 \h </w:instrText>
      </w:r>
      <w:r>
        <w:fldChar w:fldCharType="separate"/>
      </w:r>
      <w:r>
        <w:t>12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3.2检测查询</w:t>
      </w:r>
      <w:r>
        <w:tab/>
      </w:r>
      <w:r>
        <w:fldChar w:fldCharType="begin"/>
      </w:r>
      <w:r>
        <w:instrText xml:space="preserve"> PAGEREF _Toc3314 \h </w:instrText>
      </w:r>
      <w:r>
        <w:fldChar w:fldCharType="separate"/>
      </w:r>
      <w:r>
        <w:t>13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3.2.1检测明细查询</w:t>
      </w:r>
      <w:r>
        <w:tab/>
      </w:r>
      <w:r>
        <w:fldChar w:fldCharType="begin"/>
      </w:r>
      <w:r>
        <w:instrText xml:space="preserve"> PAGEREF _Toc19593 \h </w:instrText>
      </w:r>
      <w:r>
        <w:fldChar w:fldCharType="separate"/>
      </w:r>
      <w:r>
        <w:t>13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4.选题管理</w:t>
      </w:r>
      <w:r>
        <w:tab/>
      </w:r>
      <w:r>
        <w:fldChar w:fldCharType="begin"/>
      </w:r>
      <w:r>
        <w:instrText xml:space="preserve"> PAGEREF _Toc8911 \h </w:instrText>
      </w:r>
      <w:r>
        <w:fldChar w:fldCharType="separate"/>
      </w:r>
      <w:r>
        <w:t>14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4.1指导关系确认</w:t>
      </w:r>
      <w:r>
        <w:tab/>
      </w:r>
      <w:r>
        <w:fldChar w:fldCharType="begin"/>
      </w:r>
      <w:r>
        <w:instrText xml:space="preserve"> PAGEREF _Toc15631 \h </w:instrText>
      </w:r>
      <w:r>
        <w:fldChar w:fldCharType="separate"/>
      </w:r>
      <w:r>
        <w:t>14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4.1.1</w:t>
      </w:r>
      <w:r>
        <w:rPr>
          <w:rFonts w:hint="eastAsia"/>
          <w:u w:color="auto"/>
          <w:lang w:val="en-US" w:eastAsia="zh-CN"/>
        </w:rPr>
        <w:t>导入</w:t>
      </w:r>
      <w:r>
        <w:rPr>
          <w:u w:color="auto"/>
        </w:rPr>
        <w:t>指导关系</w:t>
      </w:r>
      <w:r>
        <w:tab/>
      </w:r>
      <w:r>
        <w:fldChar w:fldCharType="begin"/>
      </w:r>
      <w:r>
        <w:instrText xml:space="preserve"> PAGEREF _Toc17026 \h </w:instrText>
      </w:r>
      <w:r>
        <w:fldChar w:fldCharType="separate"/>
      </w:r>
      <w:r>
        <w:t>14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u w:color="auto"/>
        </w:rPr>
        <w:t>5. 评分管理</w:t>
      </w:r>
      <w:r>
        <w:tab/>
      </w:r>
      <w:r>
        <w:fldChar w:fldCharType="begin"/>
      </w:r>
      <w:r>
        <w:instrText xml:space="preserve"> PAGEREF _Toc29503 \h </w:instrText>
      </w:r>
      <w:r>
        <w:fldChar w:fldCharType="separate"/>
      </w:r>
      <w:r>
        <w:t>15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5.1分配评阅教师</w:t>
      </w:r>
      <w:r>
        <w:tab/>
      </w:r>
      <w:r>
        <w:fldChar w:fldCharType="begin"/>
      </w:r>
      <w:r>
        <w:instrText xml:space="preserve"> PAGEREF _Toc9403 \h </w:instrText>
      </w:r>
      <w:r>
        <w:fldChar w:fldCharType="separate"/>
      </w:r>
      <w:r>
        <w:t>15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val="en-US" w:eastAsia="zh-CN"/>
        </w:rPr>
        <w:t>5.2批量导入分配评阅教师</w:t>
      </w:r>
      <w:r>
        <w:tab/>
      </w:r>
      <w:r>
        <w:fldChar w:fldCharType="begin"/>
      </w:r>
      <w:r>
        <w:instrText xml:space="preserve"> PAGEREF _Toc28771 \h </w:instrText>
      </w:r>
      <w:r>
        <w:fldChar w:fldCharType="separate"/>
      </w:r>
      <w:r>
        <w:t>16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3</w:t>
      </w:r>
      <w:r>
        <w:rPr>
          <w:rFonts w:hint="eastAsia"/>
          <w:lang w:val="en-US" w:eastAsia="zh-CN"/>
        </w:rPr>
        <w:t>分配答辩组</w:t>
      </w:r>
      <w:r>
        <w:tab/>
      </w:r>
      <w:r>
        <w:fldChar w:fldCharType="begin"/>
      </w:r>
      <w:r>
        <w:instrText xml:space="preserve"> PAGEREF _Toc11140 \h </w:instrText>
      </w:r>
      <w:r>
        <w:fldChar w:fldCharType="separate"/>
      </w:r>
      <w:r>
        <w:t>17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  <w:lang w:val="en-US" w:eastAsia="zh-CN"/>
        </w:rPr>
        <w:t>5.4批量导入分配答辩组</w:t>
      </w:r>
      <w:r>
        <w:tab/>
      </w:r>
      <w:r>
        <w:fldChar w:fldCharType="begin"/>
      </w:r>
      <w:r>
        <w:instrText xml:space="preserve"> PAGEREF _Toc9348 \h </w:instrText>
      </w:r>
      <w:r>
        <w:fldChar w:fldCharType="separate"/>
      </w:r>
      <w:r>
        <w:t>19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总评</w:t>
      </w:r>
      <w:r>
        <w:tab/>
      </w:r>
      <w:r>
        <w:fldChar w:fldCharType="begin"/>
      </w:r>
      <w:r>
        <w:instrText xml:space="preserve"> PAGEREF _Toc27722 \h </w:instrText>
      </w:r>
      <w:r>
        <w:fldChar w:fldCharType="separate"/>
      </w:r>
      <w:r>
        <w:t>21</w:t>
      </w:r>
      <w:r>
        <w:fldChar w:fldCharType="end"/>
      </w:r>
    </w:p>
    <w:p>
      <w:pPr>
        <w:pStyle w:val="6"/>
        <w:tabs>
          <w:tab w:val="right" w:leader="dot" w:pos="8306"/>
        </w:tabs>
      </w:pPr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.1查看总评成绩</w:t>
      </w:r>
      <w:r>
        <w:tab/>
      </w:r>
      <w:r>
        <w:fldChar w:fldCharType="begin"/>
      </w:r>
      <w:r>
        <w:instrText xml:space="preserve"> PAGEREF _Toc9944 \h </w:instrText>
      </w:r>
      <w:r>
        <w:fldChar w:fldCharType="separate"/>
      </w:r>
      <w:r>
        <w:t>21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r>
        <w:tab/>
      </w:r>
      <w:r>
        <w:fldChar w:fldCharType="begin"/>
      </w:r>
      <w:r>
        <w:instrText xml:space="preserve"> PAGEREF _Toc761 \h </w:instrText>
      </w:r>
      <w:r>
        <w:fldChar w:fldCharType="separate"/>
      </w:r>
      <w:r>
        <w:t>22</w:t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r>
        <w:tab/>
      </w:r>
      <w:r>
        <w:fldChar w:fldCharType="begin"/>
      </w:r>
      <w:r>
        <w:instrText xml:space="preserve"> PAGEREF _Toc18150 \h </w:instrText>
      </w:r>
      <w:r>
        <w:fldChar w:fldCharType="separate"/>
      </w:r>
      <w:r>
        <w:t>22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1、站内信</w:t>
      </w:r>
      <w:r>
        <w:tab/>
      </w:r>
      <w:r>
        <w:fldChar w:fldCharType="begin"/>
      </w:r>
      <w:r>
        <w:instrText xml:space="preserve"> PAGEREF _Toc16163 \h </w:instrText>
      </w:r>
      <w:r>
        <w:fldChar w:fldCharType="separate"/>
      </w:r>
      <w:r>
        <w:t>22</w:t>
      </w:r>
      <w:r>
        <w:fldChar w:fldCharType="end"/>
      </w:r>
    </w:p>
    <w:p>
      <w:pPr>
        <w:pStyle w:val="10"/>
        <w:tabs>
          <w:tab w:val="right" w:leader="dot" w:pos="8306"/>
        </w:tabs>
      </w:pPr>
      <w:r>
        <w:rPr>
          <w:rFonts w:hint="eastAsia"/>
        </w:rPr>
        <w:t>2、公告管理</w:t>
      </w:r>
      <w:r>
        <w:tab/>
      </w:r>
      <w:r>
        <w:fldChar w:fldCharType="begin"/>
      </w:r>
      <w:r>
        <w:instrText xml:space="preserve"> PAGEREF _Toc25487 \h </w:instrText>
      </w:r>
      <w:r>
        <w:fldChar w:fldCharType="separate"/>
      </w:r>
      <w:r>
        <w:t>22</w:t>
      </w:r>
      <w:r>
        <w:fldChar w:fldCharType="end"/>
      </w:r>
    </w:p>
    <w:p>
      <w:pPr>
        <w:ind w:firstLine="2100" w:firstLineChars="1000"/>
        <w:jc w:val="left"/>
        <w:rPr>
          <w:rFonts w:hint="default" w:ascii="宋体" w:hAnsi="宋体" w:eastAsia="宋体"/>
          <w:b/>
          <w:szCs w:val="30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fldChar w:fldCharType="end"/>
      </w:r>
    </w:p>
    <w:p>
      <w:pPr>
        <w:ind w:firstLine="2108" w:firstLineChars="1000"/>
        <w:rPr>
          <w:rFonts w:hint="eastAsia" w:ascii="宋体" w:hAnsi="宋体"/>
          <w:b/>
          <w:szCs w:val="30"/>
        </w:rPr>
      </w:pPr>
    </w:p>
    <w:p>
      <w:pPr>
        <w:pStyle w:val="2"/>
        <w:numPr>
          <w:ilvl w:val="0"/>
          <w:numId w:val="1"/>
        </w:numPr>
        <w:spacing w:before="0" w:after="0" w:line="360" w:lineRule="auto"/>
      </w:pPr>
      <w:bookmarkStart w:id="2" w:name="_Toc14559"/>
      <w:bookmarkStart w:id="3" w:name="_Toc4603"/>
      <w:r>
        <w:rPr>
          <w:rFonts w:hint="eastAsia"/>
        </w:rPr>
        <w:t>系统登录</w:t>
      </w:r>
      <w:bookmarkEnd w:id="0"/>
      <w:bookmarkEnd w:id="2"/>
      <w:bookmarkEnd w:id="3"/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</w:rPr>
        <w:t>打开网址https://vgms.fanyu.com/，选择学校“</w:t>
      </w:r>
      <w:r>
        <w:rPr>
          <w:rFonts w:hint="eastAsia" w:ascii="宋体" w:hAnsi="宋体" w:cs="宋体"/>
          <w:lang w:val="en-US" w:eastAsia="zh-CN"/>
        </w:rPr>
        <w:t>成都文理学院</w:t>
      </w:r>
      <w:r>
        <w:rPr>
          <w:rFonts w:hint="eastAsia" w:ascii="宋体" w:hAnsi="宋体" w:cs="宋体"/>
        </w:rPr>
        <w:t>”，输入账号和密码（</w:t>
      </w:r>
      <w:r>
        <w:rPr>
          <w:rFonts w:hint="eastAsia" w:ascii="宋体" w:hAnsi="宋体" w:cs="宋体"/>
          <w:color w:val="FF0000"/>
        </w:rPr>
        <w:t>账号为学号/工号，初始密码：以学校通知为准）</w:t>
      </w:r>
      <w:r>
        <w:rPr>
          <w:rFonts w:hint="eastAsia" w:ascii="宋体" w:hAnsi="宋体" w:cs="宋体"/>
          <w:color w:val="000000"/>
        </w:rPr>
        <w:t>，点击登录即可。</w:t>
      </w:r>
    </w:p>
    <w:p>
      <w:r>
        <w:drawing>
          <wp:inline distT="0" distB="0" distL="114300" distR="114300">
            <wp:extent cx="5264785" cy="2598420"/>
            <wp:effectExtent l="0" t="0" r="18415" b="17780"/>
            <wp:docPr id="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cs="宋体"/>
          <w:color w:val="FF0000"/>
        </w:rPr>
      </w:pPr>
      <w:r>
        <w:rPr>
          <w:rFonts w:hint="eastAsia" w:ascii="宋体" w:hAnsi="宋体" w:cs="宋体"/>
          <w:color w:val="FF0000"/>
        </w:rPr>
        <w:t>注意：</w:t>
      </w:r>
      <w:r>
        <w:rPr>
          <w:rFonts w:hint="eastAsia" w:ascii="宋体" w:hAnsi="宋体" w:cs="宋体"/>
          <w:color w:val="FF0000"/>
          <w:lang w:eastAsia="zh-CN"/>
        </w:rPr>
        <w:t>如果</w:t>
      </w:r>
      <w:r>
        <w:rPr>
          <w:rFonts w:hint="eastAsia" w:ascii="宋体" w:hAnsi="宋体" w:cs="宋体"/>
          <w:color w:val="FF0000"/>
        </w:rPr>
        <w:t>学生</w:t>
      </w:r>
      <w:r>
        <w:rPr>
          <w:rFonts w:hint="eastAsia" w:ascii="宋体" w:hAnsi="宋体" w:cs="宋体"/>
          <w:color w:val="FF0000"/>
          <w:lang w:eastAsia="zh-CN"/>
        </w:rPr>
        <w:t>角色</w:t>
      </w:r>
      <w:r>
        <w:rPr>
          <w:rFonts w:hint="eastAsia" w:ascii="宋体" w:hAnsi="宋体" w:cs="宋体"/>
          <w:color w:val="FF0000"/>
        </w:rPr>
        <w:t>是双学位，还需要选择一次组织</w:t>
      </w:r>
      <w:r>
        <w:rPr>
          <w:rFonts w:hint="eastAsia" w:ascii="宋体" w:hAnsi="宋体" w:cs="宋体"/>
          <w:color w:val="FF0000"/>
          <w:lang w:eastAsia="zh-CN"/>
        </w:rPr>
        <w:t>；如果教师是多角色，还需要选择一次角色；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5268595" cy="2616835"/>
            <wp:effectExtent l="0" t="0" r="14605" b="24765"/>
            <wp:docPr id="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1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/>
        </w:rPr>
      </w:pPr>
      <w:bookmarkStart w:id="4" w:name="_Toc21120"/>
      <w:bookmarkStart w:id="5" w:name="_Toc23876"/>
      <w:bookmarkStart w:id="6" w:name="_Toc28809"/>
      <w:r>
        <w:rPr>
          <w:rFonts w:hint="eastAsia"/>
        </w:rPr>
        <w:t>个人</w:t>
      </w:r>
      <w:bookmarkEnd w:id="4"/>
      <w:r>
        <w:rPr>
          <w:rFonts w:hint="eastAsia"/>
        </w:rPr>
        <w:t>设置</w:t>
      </w:r>
      <w:bookmarkEnd w:id="5"/>
      <w:bookmarkEnd w:id="6"/>
    </w:p>
    <w:p>
      <w:pPr>
        <w:pStyle w:val="3"/>
      </w:pPr>
      <w:bookmarkStart w:id="7" w:name="_Toc3167"/>
      <w:bookmarkStart w:id="8" w:name="_Toc13441"/>
      <w:r>
        <w:rPr>
          <w:rFonts w:hint="eastAsia"/>
        </w:rPr>
        <w:t>1、个人信息</w:t>
      </w:r>
      <w:bookmarkEnd w:id="7"/>
      <w:bookmarkEnd w:id="8"/>
    </w:p>
    <w:p>
      <w:r>
        <w:rPr>
          <w:rFonts w:hint="eastAsia"/>
        </w:rPr>
        <w:t>第一步：点击左侧菜单进入“个人设置——个人信息”，这里可以填写自己的个人信息、电子签名等。</w:t>
      </w:r>
    </w:p>
    <w:p>
      <w:r>
        <w:drawing>
          <wp:inline distT="0" distB="0" distL="114300" distR="114300">
            <wp:extent cx="5269230" cy="2503805"/>
            <wp:effectExtent l="0" t="0" r="13970" b="10795"/>
            <wp:docPr id="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0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第二歩：所有内容填写无误后，点击“提交”按钮。</w:t>
      </w:r>
    </w:p>
    <w:p>
      <w:pPr>
        <w:pStyle w:val="3"/>
        <w:rPr>
          <w:rFonts w:hint="eastAsia"/>
        </w:rPr>
      </w:pPr>
      <w:bookmarkStart w:id="9" w:name="_Toc20940"/>
      <w:bookmarkStart w:id="10" w:name="_Toc18914"/>
      <w:r>
        <w:rPr>
          <w:rFonts w:hint="eastAsia"/>
        </w:rPr>
        <w:t>2、安全中心</w:t>
      </w:r>
      <w:bookmarkEnd w:id="9"/>
      <w:bookmarkEnd w:id="10"/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第一步：点击左侧菜单进入“个人设置——安全中心”。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第二步：可根据自己需求在“个人设置-安全中心”中进行绑定安全邮箱、绑定手机号、绑定微信、密码修改等操作。绑定后，可用于找回密码或系统登录。</w:t>
      </w:r>
    </w:p>
    <w:p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64785" cy="2598420"/>
            <wp:effectExtent l="0" t="0" r="18415" b="17780"/>
            <wp:docPr id="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rPr>
          <w:rFonts w:hint="eastAsia" w:ascii="Calibri" w:hAnsi="Calibri" w:eastAsia="宋体" w:cs="Times New Roman"/>
          <w:lang w:val="en-US" w:eastAsia="zh-CN"/>
        </w:rPr>
      </w:pPr>
      <w:bookmarkStart w:id="11" w:name="_Toc25080"/>
      <w:bookmarkStart w:id="12" w:name="_Toc6721"/>
      <w:bookmarkStart w:id="13" w:name="_Toc9556"/>
      <w:r>
        <w:rPr>
          <w:rFonts w:hint="eastAsia" w:ascii="Calibri" w:hAnsi="Calibri" w:eastAsia="宋体" w:cs="Times New Roman"/>
          <w:lang w:val="en-US" w:eastAsia="zh-CN"/>
        </w:rPr>
        <w:t>系统主流程及操作方法</w:t>
      </w:r>
      <w:bookmarkEnd w:id="11"/>
      <w:bookmarkEnd w:id="12"/>
      <w:bookmarkEnd w:id="13"/>
      <w:r>
        <w:rPr>
          <w:rFonts w:hint="eastAsia" w:ascii="Calibri" w:hAnsi="Calibri" w:eastAsia="宋体" w:cs="Times New Roman"/>
          <w:lang w:val="en-US" w:eastAsia="zh-CN"/>
        </w:rPr>
        <w:t xml:space="preserve"> </w:t>
      </w:r>
    </w:p>
    <w:p>
      <w:pPr>
        <w:spacing w:line="276" w:lineRule="auto"/>
        <w:rPr>
          <w:rFonts w:hint="eastAsia"/>
          <w:lang w:val="en-US" w:eastAsia="zh-CN"/>
        </w:rPr>
      </w:pP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第1步：用户点击左边菜单栏“选题管理”——选择“指导关系确认”——进入“查询指导关系”页面，点击页面“批量导入”按钮。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第2步：在弹出的页面中下载模板，根据模板内容进行填写，填写完成后，上传模板。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9525" b="0"/>
            <wp:docPr id="1415198374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198374" name="Drawing 1" descr="Generate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81275"/>
            <wp:effectExtent l="0" t="0" r="9525" b="9525"/>
            <wp:docPr id="1727859694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59694" name="Drawing 2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62225"/>
            <wp:effectExtent l="0" t="0" r="9525" b="9525"/>
            <wp:docPr id="1907581277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581277" name="Drawing 3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495425"/>
            <wp:effectExtent l="0" t="0" r="9525" b="9525"/>
            <wp:docPr id="4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 descr="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14" w:name="_Toc16878"/>
      <w:r>
        <w:rPr>
          <w:u w:color="auto"/>
        </w:rPr>
        <w:t>1.基础设置</w:t>
      </w:r>
      <w:bookmarkEnd w:id="14"/>
    </w:p>
    <w:p>
      <w:pPr>
        <w:pStyle w:val="3"/>
        <w:jc w:val="left"/>
      </w:pPr>
      <w:bookmarkStart w:id="15" w:name="_Toc6715"/>
      <w:r>
        <w:rPr>
          <w:u w:color="auto"/>
        </w:rPr>
        <w:t>1.1业务设置</w:t>
      </w:r>
      <w:bookmarkEnd w:id="15"/>
    </w:p>
    <w:p>
      <w:pPr>
        <w:pStyle w:val="4"/>
        <w:jc w:val="left"/>
      </w:pPr>
      <w:bookmarkStart w:id="16" w:name="_Toc5687"/>
      <w:r>
        <w:rPr>
          <w:u w:color="auto"/>
        </w:rPr>
        <w:t>1.1.1流程节点时间</w:t>
      </w:r>
      <w:bookmarkEnd w:id="1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选择左边菜单栏“基础设置”——选择“业务设置”——选择“流程节点时间”。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点击“新增”按钮，即可设置各个业务的时间范围，超过设置的时间范围，则不可以再进行数据的提交或者审核操作。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552450"/>
            <wp:effectExtent l="0" t="0" r="9525" b="0"/>
            <wp:docPr id="5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5" descr="Generat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71750"/>
            <wp:effectExtent l="0" t="0" r="9525" b="0"/>
            <wp:docPr id="6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 descr="Generate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17" w:name="_Toc9742"/>
      <w:r>
        <w:rPr>
          <w:u w:color="auto"/>
        </w:rPr>
        <w:t>2.组织账号管理</w:t>
      </w:r>
      <w:bookmarkEnd w:id="17"/>
    </w:p>
    <w:p>
      <w:pPr>
        <w:pStyle w:val="3"/>
        <w:jc w:val="left"/>
      </w:pPr>
      <w:bookmarkStart w:id="18" w:name="_Toc29657"/>
      <w:r>
        <w:rPr>
          <w:u w:color="auto"/>
        </w:rPr>
        <w:t>2.1组织架构</w:t>
      </w:r>
      <w:bookmarkEnd w:id="18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选择左边菜单栏“组织账号管理”——选择“组织架构”，可下载组织架构导入模板，按照模板填写好表格后，点击上传就可导入组织架构。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71475"/>
            <wp:effectExtent l="0" t="0" r="9525" b="9525"/>
            <wp:docPr id="755379129" name="Drawing 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379129" name="Drawing 7" descr="Generate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019425"/>
            <wp:effectExtent l="0" t="0" r="9525" b="9525"/>
            <wp:docPr id="875901820" name="Drawing 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901820" name="Drawing 8" descr="Generated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19300"/>
            <wp:effectExtent l="0" t="0" r="9525" b="0"/>
            <wp:docPr id="9" name="Drawing 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9" descr="Generated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809750"/>
            <wp:effectExtent l="0" t="0" r="9525" b="0"/>
            <wp:docPr id="10" name="Drawing 1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 descr="Generated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90725"/>
            <wp:effectExtent l="0" t="0" r="9525" b="9525"/>
            <wp:docPr id="11" name="Drawing 1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1" descr="Generate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19" w:name="_Toc14454"/>
      <w:r>
        <w:rPr>
          <w:u w:color="auto"/>
        </w:rPr>
        <w:t>2.2账号管理</w:t>
      </w:r>
      <w:bookmarkEnd w:id="19"/>
    </w:p>
    <w:p>
      <w:pPr>
        <w:pStyle w:val="4"/>
        <w:jc w:val="left"/>
      </w:pPr>
      <w:bookmarkStart w:id="20" w:name="_Toc11989"/>
      <w:r>
        <w:rPr>
          <w:u w:color="auto"/>
        </w:rPr>
        <w:t>2.2.1学生管理</w:t>
      </w:r>
      <w:bookmarkEnd w:id="20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选择左边菜单栏“组织账号管理”——点击账号管理——点击页面“批量导入学生账号”按钮即可跳转模板下载及导入详情界面。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点击页面中“导入学生账号”进行模板下载——打开模板填写学生账号信息——填写完成点击上传文件——点击保存即可上传成功。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76275"/>
            <wp:effectExtent l="0" t="0" r="9525" b="9525"/>
            <wp:docPr id="12" name="Drawing 1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 descr="Generated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86025"/>
            <wp:effectExtent l="0" t="0" r="9525" b="9525"/>
            <wp:docPr id="13" name="Drawing 1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3" descr="Generate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90725"/>
            <wp:effectExtent l="0" t="0" r="9525" b="9525"/>
            <wp:docPr id="14" name="Drawing 1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 descr="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257425"/>
            <wp:effectExtent l="0" t="0" r="9525" b="9525"/>
            <wp:docPr id="15" name="Drawing 1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5" descr="Generate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00250"/>
            <wp:effectExtent l="0" t="0" r="9525" b="0"/>
            <wp:docPr id="16" name="Drawing 1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 descr="Generated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jc w:val="left"/>
      </w:pPr>
      <w:bookmarkStart w:id="21" w:name="_Toc21635"/>
      <w:r>
        <w:rPr>
          <w:u w:color="auto"/>
        </w:rPr>
        <w:t>2.2.2教师管理</w:t>
      </w:r>
      <w:bookmarkEnd w:id="21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选择左边菜单栏“组织账号管理”——点击账号管理——点击页面“批量导入教师账号”按钮即可跳转模板下载及导入详情界面。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点击页面中“导入教师账号”进行模板下载——打开模板填写教师账号信息——填写完成点击上传文件——点击保存即可上传成功。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800100"/>
            <wp:effectExtent l="0" t="0" r="9525" b="0"/>
            <wp:docPr id="17" name="Drawing 1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 descr="Generated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76500"/>
            <wp:effectExtent l="0" t="0" r="9525" b="0"/>
            <wp:docPr id="18" name="Drawing 1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 descr="Generate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52625"/>
            <wp:effectExtent l="0" t="0" r="9525" b="9525"/>
            <wp:docPr id="19" name="Drawing 19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9" descr="Generated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257425"/>
            <wp:effectExtent l="0" t="0" r="9525" b="9525"/>
            <wp:docPr id="20" name="Drawing 2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 descr="Generate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52625"/>
            <wp:effectExtent l="0" t="0" r="9525" b="9525"/>
            <wp:docPr id="21" name="Drawing 2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1" descr="Generate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22" w:name="_Toc2246"/>
      <w:r>
        <w:rPr>
          <w:u w:color="auto"/>
        </w:rPr>
        <w:t>3.检测管理</w:t>
      </w:r>
      <w:bookmarkEnd w:id="22"/>
    </w:p>
    <w:p>
      <w:pPr>
        <w:pStyle w:val="3"/>
        <w:jc w:val="left"/>
      </w:pPr>
      <w:bookmarkStart w:id="23" w:name="_Toc32011"/>
      <w:r>
        <w:rPr>
          <w:u w:color="auto"/>
        </w:rPr>
        <w:t>3.1检测次数分配</w:t>
      </w:r>
      <w:bookmarkEnd w:id="23"/>
    </w:p>
    <w:p>
      <w:pPr>
        <w:pStyle w:val="4"/>
        <w:jc w:val="left"/>
      </w:pPr>
      <w:bookmarkStart w:id="24" w:name="_Toc10820"/>
      <w:r>
        <w:rPr>
          <w:u w:color="auto"/>
        </w:rPr>
        <w:t>3.1.1给学生分配检测次数</w:t>
      </w:r>
      <w:bookmarkEnd w:id="24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第1步：用户选择左边菜单栏“检测管理”——“检测次数分配”——进入“给单个学生分配检测次数”页面，点击页面“批量导入”按钮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第2步：下载模板，根据模板内容进行填写，填写完成后，上传模板。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571500"/>
            <wp:effectExtent l="0" t="0" r="9525" b="0"/>
            <wp:docPr id="22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 descr="Generated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05075"/>
            <wp:effectExtent l="0" t="0" r="9525" b="9525"/>
            <wp:docPr id="23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3" descr="Generated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628900"/>
            <wp:effectExtent l="0" t="0" r="9525" b="0"/>
            <wp:docPr id="24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4" descr="Generated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752600"/>
            <wp:effectExtent l="0" t="0" r="9525" b="0"/>
            <wp:docPr id="25" name="Drawing 2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5" descr="Generated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25" w:name="_Toc3314"/>
      <w:r>
        <w:rPr>
          <w:u w:color="auto"/>
        </w:rPr>
        <w:t>3.2检测查询</w:t>
      </w:r>
      <w:bookmarkEnd w:id="25"/>
    </w:p>
    <w:p>
      <w:pPr>
        <w:pStyle w:val="4"/>
        <w:jc w:val="left"/>
      </w:pPr>
      <w:bookmarkStart w:id="26" w:name="_Toc19593"/>
      <w:r>
        <w:rPr>
          <w:u w:color="auto"/>
        </w:rPr>
        <w:t>3.2.1检测明细查询</w:t>
      </w:r>
      <w:bookmarkEnd w:id="26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选择左边菜单栏“检测管理”——选择“检测查询”——点击“检测明细查询”即可学生具体检测情况。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95325"/>
            <wp:effectExtent l="0" t="0" r="9525" b="9525"/>
            <wp:docPr id="26" name="Drawing 2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6" descr="Generated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86025"/>
            <wp:effectExtent l="0" t="0" r="9525" b="9525"/>
            <wp:docPr id="27" name="Drawing 2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rawing 27" descr="Generate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jc w:val="left"/>
      </w:pPr>
      <w:bookmarkStart w:id="27" w:name="_Toc8911"/>
      <w:r>
        <w:rPr>
          <w:u w:color="auto"/>
        </w:rPr>
        <w:t>4.选题管理</w:t>
      </w:r>
      <w:bookmarkEnd w:id="27"/>
    </w:p>
    <w:p>
      <w:pPr>
        <w:pStyle w:val="3"/>
        <w:jc w:val="left"/>
      </w:pPr>
      <w:bookmarkStart w:id="28" w:name="_Toc15631"/>
      <w:r>
        <w:rPr>
          <w:u w:color="auto"/>
        </w:rPr>
        <w:t>4.1指导关系确认</w:t>
      </w:r>
      <w:bookmarkEnd w:id="28"/>
    </w:p>
    <w:p>
      <w:pPr>
        <w:pStyle w:val="4"/>
        <w:jc w:val="left"/>
      </w:pPr>
      <w:bookmarkStart w:id="29" w:name="_Toc17026"/>
      <w:r>
        <w:rPr>
          <w:u w:color="auto"/>
        </w:rPr>
        <w:t>4.1.1</w:t>
      </w:r>
      <w:r>
        <w:rPr>
          <w:rFonts w:hint="eastAsia"/>
          <w:u w:color="auto"/>
          <w:lang w:val="en-US" w:eastAsia="zh-CN"/>
        </w:rPr>
        <w:t>导入</w:t>
      </w:r>
      <w:r>
        <w:rPr>
          <w:u w:color="auto"/>
        </w:rPr>
        <w:t>指导关系</w:t>
      </w:r>
      <w:bookmarkEnd w:id="29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第1步：用户点击左边菜单栏“选题管理”——选择“指导关系确认”——进入“查询指导关系”页面，点击页面“批量导入”按钮。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第2步：在弹出的页面中下载模板，根据模板内容进行填写，填写完成后，上传模板。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66750"/>
            <wp:effectExtent l="0" t="0" r="9525" b="0"/>
            <wp:docPr id="39" name="Drawing 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1" descr="Generate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81275"/>
            <wp:effectExtent l="0" t="0" r="9525" b="9525"/>
            <wp:docPr id="40" name="Drawing 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rawing 2" descr="Generat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62225"/>
            <wp:effectExtent l="0" t="0" r="9525" b="9525"/>
            <wp:docPr id="41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3" descr="Generat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495425"/>
            <wp:effectExtent l="0" t="0" r="9525" b="9525"/>
            <wp:docPr id="42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" descr="Generat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jc w:val="left"/>
        <w:rPr>
          <w:u w:color="auto"/>
        </w:rPr>
      </w:pPr>
      <w:bookmarkStart w:id="30" w:name="_Toc29503"/>
      <w:r>
        <w:rPr>
          <w:u w:color="auto"/>
        </w:rPr>
        <w:t>评分管理</w:t>
      </w:r>
      <w:bookmarkEnd w:id="30"/>
    </w:p>
    <w:p>
      <w:pPr>
        <w:pStyle w:val="3"/>
        <w:jc w:val="left"/>
      </w:pPr>
      <w:bookmarkStart w:id="31" w:name="_Toc23766"/>
      <w:bookmarkStart w:id="32" w:name="_Toc9403"/>
      <w:r>
        <w:rPr>
          <w:u w:color="auto"/>
        </w:rPr>
        <w:t>5.1分配评阅教师</w:t>
      </w:r>
      <w:bookmarkEnd w:id="31"/>
      <w:bookmarkEnd w:id="32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管理”——“分配评阅教师”——点击页面“分配评阅教师”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点击右侧“分配学生”按钮进入学生分配详情页面——点击学生信息右侧“分配”按钮即可将该学生分配。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476250"/>
            <wp:effectExtent l="0" t="0" r="9525" b="0"/>
            <wp:docPr id="35" name="Drawing 3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5" descr="Generated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2847975"/>
            <wp:effectExtent l="0" t="0" r="9525" b="9525"/>
            <wp:docPr id="43" name="Drawing 3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rawing 36" descr="Generated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33" w:name="_Toc21291"/>
      <w:bookmarkStart w:id="34" w:name="_Toc28771"/>
      <w:r>
        <w:rPr>
          <w:rFonts w:hint="eastAsia"/>
          <w:lang w:val="en-US" w:eastAsia="zh-CN"/>
        </w:rPr>
        <w:t>5.2批量导入分配评阅教师</w:t>
      </w:r>
      <w:bookmarkEnd w:id="33"/>
      <w:bookmarkEnd w:id="34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管理”——“分配评阅教师”——点击按钮“批量导入”。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下载模板，根据模板内容进行填写，填写完成后，上传模板。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76250"/>
            <wp:effectExtent l="0" t="0" r="9525" b="0"/>
            <wp:docPr id="45" name="Drawing 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rawing 6" descr="Generated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847975"/>
            <wp:effectExtent l="0" t="0" r="9525" b="9525"/>
            <wp:docPr id="46" name="Drawing 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3" descr="Generated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066925"/>
            <wp:effectExtent l="0" t="0" r="9525" b="9525"/>
            <wp:docPr id="47" name="Drawing 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rawing 4" descr="Generated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562225"/>
            <wp:effectExtent l="0" t="0" r="9525" b="9525"/>
            <wp:docPr id="48" name="Drawing 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5" descr="Generated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</w:pPr>
    </w:p>
    <w:p>
      <w:pPr>
        <w:pStyle w:val="3"/>
        <w:bidi w:val="0"/>
        <w:rPr>
          <w:rFonts w:hint="default"/>
          <w:lang w:val="en-US" w:eastAsia="zh-CN"/>
        </w:rPr>
      </w:pPr>
      <w:bookmarkStart w:id="35" w:name="_Toc11140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3</w:t>
      </w:r>
      <w:r>
        <w:rPr>
          <w:rFonts w:hint="eastAsia"/>
          <w:lang w:val="en-US" w:eastAsia="zh-CN"/>
        </w:rPr>
        <w:t>分配答辩组</w:t>
      </w:r>
      <w:bookmarkEnd w:id="35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第1步：选择左边菜单栏“评分管理”-“分配答辩组”——选择“答辩组评分”——点击页面“新增”按钮即可跳转建立答辩组的详情界面——填写答辩组信息——点击保存；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第2步：点击答辩组信息右侧“分配学生”按钮进入学生分配详情页面——点击学生信息右侧“分配”按钮即可将该学生分配到该答辩组。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85775"/>
            <wp:effectExtent l="0" t="0" r="9525" b="9525"/>
            <wp:docPr id="49" name="Drawing 2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rawing 28" descr="Generate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24225"/>
            <wp:effectExtent l="0" t="0" r="9525" b="9525"/>
            <wp:docPr id="50" name="Drawing 24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rawing 24" descr="Generated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305175"/>
            <wp:effectExtent l="0" t="0" r="9525" b="9525"/>
            <wp:docPr id="51" name="Drawing 25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25" descr="Generated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419350"/>
            <wp:effectExtent l="0" t="0" r="9525" b="0"/>
            <wp:docPr id="52" name="Drawing 2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rawing 26" descr="Generated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u w:color="auto"/>
        </w:rPr>
      </w:pPr>
      <w:r>
        <w:rPr>
          <w:u w:color="auto"/>
        </w:rPr>
        <w:drawing>
          <wp:inline distT="0" distB="0" distL="0" distR="0">
            <wp:extent cx="5267325" cy="3429000"/>
            <wp:effectExtent l="0" t="0" r="9525" b="0"/>
            <wp:docPr id="53" name="Drawing 2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rawing 27" descr="Generated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36" w:name="_Toc32225"/>
      <w:bookmarkStart w:id="37" w:name="_Toc28998"/>
      <w:bookmarkStart w:id="38" w:name="_Toc9348"/>
      <w:r>
        <w:rPr>
          <w:rFonts w:hint="eastAsia"/>
          <w:lang w:val="en-US" w:eastAsia="zh-CN"/>
        </w:rPr>
        <w:t>5.4批量导入分配答辩组</w:t>
      </w:r>
      <w:bookmarkEnd w:id="36"/>
      <w:bookmarkEnd w:id="37"/>
      <w:bookmarkEnd w:id="38"/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第1步：用户选择左边菜单栏“</w:t>
      </w:r>
      <w:r>
        <w:rPr>
          <w:rFonts w:hint="eastAsia" w:ascii="宋体" w:hAnsi="宋体" w:cs="宋体"/>
          <w:sz w:val="21"/>
          <w:u w:color="auto"/>
          <w:lang w:val="en-US" w:eastAsia="zh-CN"/>
        </w:rPr>
        <w:t>评分</w:t>
      </w:r>
      <w:r>
        <w:rPr>
          <w:rFonts w:ascii="宋体" w:hAnsi="宋体" w:eastAsia="宋体" w:cs="宋体"/>
          <w:sz w:val="21"/>
          <w:u w:color="auto"/>
        </w:rPr>
        <w:t>管理”——“分配答辩组”——点击页面“批量导入”按钮</w:t>
      </w:r>
    </w:p>
    <w:p>
      <w:pPr>
        <w:keepLines/>
        <w:ind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第2步：下载模板，根据模板内容进行填写，填写完成后，上传模板。</w:t>
      </w:r>
      <w:r>
        <w:rPr>
          <w:rFonts w:ascii="宋体" w:hAnsi="宋体" w:eastAsia="宋体" w:cs="宋体"/>
          <w:sz w:val="21"/>
          <w:u w:color="auto"/>
        </w:rPr>
        <w:cr/>
      </w:r>
      <w:r>
        <w:rPr>
          <w:u w:color="auto"/>
        </w:rPr>
        <w:drawing>
          <wp:inline distT="0" distB="0" distL="0" distR="0">
            <wp:extent cx="5267325" cy="485775"/>
            <wp:effectExtent l="0" t="0" r="9525" b="9525"/>
            <wp:docPr id="54" name="Drawing 23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rawing 23" descr="Generate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133725"/>
            <wp:effectExtent l="0" t="0" r="9525" b="9525"/>
            <wp:docPr id="55" name="Drawing 20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20" descr="Generated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3057525"/>
            <wp:effectExtent l="0" t="0" r="9525" b="9525"/>
            <wp:docPr id="56" name="Drawing 21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21" descr="Generated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1924050"/>
            <wp:effectExtent l="0" t="0" r="9525" b="0"/>
            <wp:docPr id="57" name="Drawing 22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Drawing 22" descr="Generated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jc w:val="left"/>
      </w:pPr>
      <w:bookmarkStart w:id="39" w:name="_Toc27722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</w:t>
      </w:r>
      <w:r>
        <w:rPr>
          <w:u w:color="auto"/>
        </w:rPr>
        <w:t>总评</w:t>
      </w:r>
      <w:bookmarkEnd w:id="39"/>
    </w:p>
    <w:p>
      <w:pPr>
        <w:pStyle w:val="4"/>
        <w:jc w:val="left"/>
      </w:pPr>
      <w:bookmarkStart w:id="40" w:name="_Toc9944"/>
      <w:r>
        <w:rPr>
          <w:u w:color="auto"/>
        </w:rPr>
        <w:t>5.</w:t>
      </w:r>
      <w:r>
        <w:rPr>
          <w:rFonts w:hint="eastAsia"/>
          <w:u w:color="auto"/>
          <w:lang w:val="en-US" w:eastAsia="zh-CN"/>
        </w:rPr>
        <w:t>5</w:t>
      </w:r>
      <w:bookmarkStart w:id="66" w:name="_GoBack"/>
      <w:bookmarkEnd w:id="66"/>
      <w:r>
        <w:rPr>
          <w:u w:color="auto"/>
        </w:rPr>
        <w:t>.1查看总评成绩</w:t>
      </w:r>
      <w:bookmarkEnd w:id="40"/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第1步：选择左边菜单栏“评分管理”-“总评”——点击页面“更新总评成绩”按钮可以更新学生总评成绩；</w:t>
      </w:r>
    </w:p>
    <w:p>
      <w:pPr>
        <w:keepLines/>
        <w:ind w:firstLine="420" w:firstLineChars="200"/>
        <w:jc w:val="left"/>
      </w:pPr>
      <w:r>
        <w:rPr>
          <w:rFonts w:ascii="宋体" w:hAnsi="宋体" w:eastAsia="宋体" w:cs="宋体"/>
          <w:sz w:val="21"/>
          <w:u w:color="auto"/>
        </w:rPr>
        <w:t>第2步：确认总评无误后可点击“公布总评成绩”，公布后学生端可在首页查看成绩。</w:t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638175"/>
            <wp:effectExtent l="0" t="0" r="9525" b="9525"/>
            <wp:docPr id="36" name="Drawing 36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rawing 36" descr="Generated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924175"/>
            <wp:effectExtent l="0" t="0" r="9525" b="9525"/>
            <wp:docPr id="37" name="Drawing 37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rawing 37" descr="Generated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u w:color="auto"/>
        </w:rPr>
        <w:drawing>
          <wp:inline distT="0" distB="0" distL="0" distR="0">
            <wp:extent cx="5267325" cy="2790825"/>
            <wp:effectExtent l="0" t="0" r="9525" b="9525"/>
            <wp:docPr id="38" name="Drawing 38" descr="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rawing 38" descr="Generated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pacing w:before="240"/>
        <w:rPr>
          <w:rFonts w:hint="eastAsia" w:ascii="Calibri" w:hAnsi="Calibri" w:eastAsia="宋体" w:cs="Times New Roman"/>
          <w:lang w:val="en-US" w:eastAsia="zh-CN"/>
        </w:rPr>
      </w:pPr>
      <w:bookmarkStart w:id="41" w:name="_Toc8366"/>
      <w:bookmarkStart w:id="42" w:name="_Toc12738"/>
      <w:bookmarkStart w:id="43" w:name="_Toc761"/>
      <w:r>
        <w:rPr>
          <w:rFonts w:hint="eastAsia" w:cs="Times New Roman"/>
          <w:lang w:val="en-US" w:eastAsia="zh-CN"/>
        </w:rPr>
        <w:t>四</w:t>
      </w:r>
      <w:r>
        <w:rPr>
          <w:rFonts w:hint="eastAsia" w:ascii="Calibri" w:hAnsi="Calibri" w:eastAsia="宋体" w:cs="Times New Roman"/>
          <w:lang w:val="en-US" w:eastAsia="zh-CN"/>
        </w:rPr>
        <w:t>、下载中心</w:t>
      </w:r>
      <w:bookmarkEnd w:id="41"/>
      <w:bookmarkEnd w:id="42"/>
      <w:bookmarkEnd w:id="43"/>
    </w:p>
    <w:p>
      <w:pPr>
        <w:ind w:firstLine="420" w:firstLineChars="2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点击“下载中心”—“文件下载”，选中数据，点击”</w:t>
      </w:r>
      <w:r>
        <w:rPr>
          <w:rFonts w:hint="eastAsia" w:ascii="宋体" w:hAnsi="宋体" w:cs="宋体"/>
          <w:lang w:eastAsia="zh-CN"/>
        </w:rPr>
        <w:t>归档材料下载</w:t>
      </w:r>
      <w:r>
        <w:rPr>
          <w:rFonts w:hint="eastAsia" w:ascii="宋体" w:hAnsi="宋体" w:cs="宋体"/>
        </w:rPr>
        <w:t>“批量下载各个流程上传的文件。</w:t>
      </w:r>
    </w:p>
    <w:p>
      <w:r>
        <w:drawing>
          <wp:inline distT="0" distB="0" distL="114300" distR="114300">
            <wp:extent cx="5259070" cy="1564005"/>
            <wp:effectExtent l="0" t="0" r="24130" b="10795"/>
            <wp:docPr id="106509690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096909" name="图片 3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5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spacing w:before="240"/>
      </w:pPr>
      <w:bookmarkStart w:id="44" w:name="_Toc23080"/>
      <w:bookmarkStart w:id="45" w:name="_Toc32586"/>
      <w:bookmarkStart w:id="46" w:name="_Toc18150"/>
      <w:r>
        <w:rPr>
          <w:rFonts w:hint="eastAsia"/>
          <w:lang w:val="en-US" w:eastAsia="zh-CN"/>
        </w:rPr>
        <w:t>五</w:t>
      </w:r>
      <w:r>
        <w:rPr>
          <w:rFonts w:hint="eastAsia"/>
        </w:rPr>
        <w:t>、消息管理</w:t>
      </w:r>
      <w:bookmarkEnd w:id="44"/>
      <w:bookmarkEnd w:id="45"/>
      <w:bookmarkEnd w:id="46"/>
    </w:p>
    <w:p>
      <w:pPr>
        <w:pStyle w:val="3"/>
      </w:pPr>
      <w:bookmarkStart w:id="47" w:name="_Toc21113907"/>
      <w:bookmarkStart w:id="48" w:name="_Toc21506725"/>
      <w:bookmarkStart w:id="49" w:name="_Toc21967825"/>
      <w:bookmarkStart w:id="50" w:name="_Toc11588"/>
      <w:bookmarkStart w:id="51" w:name="_Toc13523"/>
      <w:bookmarkStart w:id="52" w:name="_Toc21507034"/>
      <w:bookmarkStart w:id="53" w:name="_Toc5161"/>
      <w:bookmarkStart w:id="54" w:name="_Toc1740308402_WPSOffice_Level3"/>
      <w:bookmarkStart w:id="55" w:name="_Toc15000"/>
      <w:bookmarkStart w:id="56" w:name="_Toc19779"/>
      <w:bookmarkStart w:id="57" w:name="_Toc14609"/>
      <w:bookmarkStart w:id="58" w:name="_Toc4888"/>
      <w:bookmarkStart w:id="59" w:name="_Toc16163"/>
      <w:r>
        <w:rPr>
          <w:rFonts w:hint="eastAsia"/>
        </w:rPr>
        <w:t>1</w:t>
      </w:r>
      <w:bookmarkEnd w:id="47"/>
      <w:bookmarkEnd w:id="48"/>
      <w:bookmarkEnd w:id="49"/>
      <w:bookmarkEnd w:id="50"/>
      <w:bookmarkEnd w:id="51"/>
      <w:bookmarkEnd w:id="52"/>
      <w:bookmarkEnd w:id="53"/>
      <w:r>
        <w:rPr>
          <w:rFonts w:hint="eastAsia"/>
        </w:rPr>
        <w:t>、站内信</w:t>
      </w:r>
      <w:bookmarkEnd w:id="54"/>
      <w:bookmarkEnd w:id="55"/>
      <w:bookmarkEnd w:id="56"/>
      <w:bookmarkEnd w:id="57"/>
      <w:bookmarkEnd w:id="58"/>
      <w:bookmarkEnd w:id="59"/>
    </w:p>
    <w:p>
      <w:pPr>
        <w:spacing w:before="156" w:after="156"/>
        <w:ind w:firstLine="480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点击左侧菜单进入“消息管理”—“站内信”。可以进行站内信的查阅与发送。</w:t>
      </w:r>
      <w:r>
        <w:rPr>
          <w:rFonts w:ascii="宋体" w:hAnsi="宋体" w:cs="宋体"/>
        </w:rPr>
        <w:drawing>
          <wp:inline distT="0" distB="0" distL="114300" distR="114300">
            <wp:extent cx="5253990" cy="1426845"/>
            <wp:effectExtent l="0" t="0" r="3810" b="20955"/>
            <wp:docPr id="108883424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34247" name="图片 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0" w:name="_Toc636040274_WPSOffice_Level3"/>
      <w:bookmarkStart w:id="61" w:name="_Toc14049"/>
      <w:bookmarkStart w:id="62" w:name="_Toc10920"/>
      <w:bookmarkStart w:id="63" w:name="_Toc12655"/>
      <w:bookmarkStart w:id="64" w:name="_Toc23918"/>
      <w:bookmarkStart w:id="65" w:name="_Toc25487"/>
      <w:r>
        <w:rPr>
          <w:rFonts w:hint="eastAsia"/>
        </w:rPr>
        <w:t>2、公告管理</w:t>
      </w:r>
      <w:bookmarkEnd w:id="60"/>
      <w:bookmarkEnd w:id="61"/>
      <w:bookmarkEnd w:id="62"/>
      <w:bookmarkEnd w:id="63"/>
      <w:bookmarkEnd w:id="64"/>
      <w:bookmarkEnd w:id="65"/>
    </w:p>
    <w:p>
      <w:pPr>
        <w:spacing w:before="120" w:after="120"/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  <w:color w:val="FF0000"/>
        </w:rPr>
        <w:t>★</w:t>
      </w:r>
      <w:r>
        <w:rPr>
          <w:rFonts w:hint="eastAsia" w:ascii="宋体" w:hAnsi="宋体" w:cs="宋体"/>
          <w:color w:val="303030"/>
        </w:rPr>
        <w:t>第1步：</w:t>
      </w:r>
      <w:r>
        <w:rPr>
          <w:rFonts w:hint="eastAsia" w:ascii="宋体" w:hAnsi="宋体" w:cs="宋体"/>
        </w:rPr>
        <w:t>点击左侧菜单进入“消息管理”—“公告管理”。可以查看学校学院发布公告内容。</w:t>
      </w:r>
    </w:p>
    <w:p>
      <w:pPr>
        <w:spacing w:before="120" w:after="120"/>
        <w:rPr>
          <w:rFonts w:ascii="宋体" w:hAnsi="宋体" w:cs="宋体"/>
        </w:rPr>
      </w:pPr>
      <w:r>
        <w:rPr>
          <w:rFonts w:ascii="宋体" w:hAnsi="宋体" w:cs="宋体"/>
        </w:rPr>
        <w:drawing>
          <wp:inline distT="0" distB="0" distL="114300" distR="114300">
            <wp:extent cx="5262245" cy="2000885"/>
            <wp:effectExtent l="0" t="0" r="20955" b="5715"/>
            <wp:docPr id="2843561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35611" name="图片 2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1B0FC9"/>
    <w:multiLevelType w:val="singleLevel"/>
    <w:tmpl w:val="E81B0FC9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WUyYjdiZDQ5MjhmYWEwNmI0MWJmOGRlMWQwMjc0MGUifQ=="/>
  </w:docVars>
  <w:rsids>
    <w:rsidRoot w:val="5FE02B0A"/>
    <w:rsid w:val="00023261"/>
    <w:rsid w:val="000304D9"/>
    <w:rsid w:val="00041EC8"/>
    <w:rsid w:val="0004525E"/>
    <w:rsid w:val="00080EEA"/>
    <w:rsid w:val="000A2742"/>
    <w:rsid w:val="000D3AC7"/>
    <w:rsid w:val="00110281"/>
    <w:rsid w:val="0012640F"/>
    <w:rsid w:val="00134937"/>
    <w:rsid w:val="00164D25"/>
    <w:rsid w:val="00187198"/>
    <w:rsid w:val="001B13DD"/>
    <w:rsid w:val="001B2917"/>
    <w:rsid w:val="00215B72"/>
    <w:rsid w:val="00216D1F"/>
    <w:rsid w:val="00290F07"/>
    <w:rsid w:val="002C6CC8"/>
    <w:rsid w:val="002D20B5"/>
    <w:rsid w:val="002D3640"/>
    <w:rsid w:val="002E6342"/>
    <w:rsid w:val="002F0FB6"/>
    <w:rsid w:val="00321CED"/>
    <w:rsid w:val="00376A1B"/>
    <w:rsid w:val="00383167"/>
    <w:rsid w:val="00390E82"/>
    <w:rsid w:val="003C62A3"/>
    <w:rsid w:val="003D22B5"/>
    <w:rsid w:val="003D4710"/>
    <w:rsid w:val="003D705D"/>
    <w:rsid w:val="003F0796"/>
    <w:rsid w:val="003F75CF"/>
    <w:rsid w:val="0041323F"/>
    <w:rsid w:val="00441424"/>
    <w:rsid w:val="00441C9E"/>
    <w:rsid w:val="00454505"/>
    <w:rsid w:val="00486E97"/>
    <w:rsid w:val="00491A15"/>
    <w:rsid w:val="004952BE"/>
    <w:rsid w:val="004A24DF"/>
    <w:rsid w:val="004A42BE"/>
    <w:rsid w:val="004C5D4B"/>
    <w:rsid w:val="004D3A02"/>
    <w:rsid w:val="004D76B3"/>
    <w:rsid w:val="004E2611"/>
    <w:rsid w:val="004E639E"/>
    <w:rsid w:val="0050291F"/>
    <w:rsid w:val="00511ACF"/>
    <w:rsid w:val="005305D3"/>
    <w:rsid w:val="005501DF"/>
    <w:rsid w:val="00590BBF"/>
    <w:rsid w:val="005B35C4"/>
    <w:rsid w:val="005D3A65"/>
    <w:rsid w:val="005D7489"/>
    <w:rsid w:val="0066524E"/>
    <w:rsid w:val="00682F60"/>
    <w:rsid w:val="006842BB"/>
    <w:rsid w:val="0068767B"/>
    <w:rsid w:val="006F7953"/>
    <w:rsid w:val="00706E2C"/>
    <w:rsid w:val="00716B0A"/>
    <w:rsid w:val="007569B5"/>
    <w:rsid w:val="00762975"/>
    <w:rsid w:val="007751E2"/>
    <w:rsid w:val="00783B6A"/>
    <w:rsid w:val="00795459"/>
    <w:rsid w:val="007A3406"/>
    <w:rsid w:val="007A6906"/>
    <w:rsid w:val="008176BE"/>
    <w:rsid w:val="00832765"/>
    <w:rsid w:val="008352FC"/>
    <w:rsid w:val="0083608A"/>
    <w:rsid w:val="00857F26"/>
    <w:rsid w:val="008747B4"/>
    <w:rsid w:val="00896AD7"/>
    <w:rsid w:val="008B4D48"/>
    <w:rsid w:val="008C3852"/>
    <w:rsid w:val="008E0D78"/>
    <w:rsid w:val="008E7CD3"/>
    <w:rsid w:val="00906D40"/>
    <w:rsid w:val="00926973"/>
    <w:rsid w:val="00935E69"/>
    <w:rsid w:val="00962DD5"/>
    <w:rsid w:val="009666BC"/>
    <w:rsid w:val="00974BBE"/>
    <w:rsid w:val="009D4674"/>
    <w:rsid w:val="009D67F0"/>
    <w:rsid w:val="00A00EAF"/>
    <w:rsid w:val="00A77943"/>
    <w:rsid w:val="00A830CE"/>
    <w:rsid w:val="00A87F74"/>
    <w:rsid w:val="00AA4694"/>
    <w:rsid w:val="00AB3833"/>
    <w:rsid w:val="00AF1DED"/>
    <w:rsid w:val="00B55CCB"/>
    <w:rsid w:val="00B85A72"/>
    <w:rsid w:val="00C52741"/>
    <w:rsid w:val="00CA1238"/>
    <w:rsid w:val="00CB31A7"/>
    <w:rsid w:val="00CD7635"/>
    <w:rsid w:val="00CF2C04"/>
    <w:rsid w:val="00D52373"/>
    <w:rsid w:val="00D6218C"/>
    <w:rsid w:val="00D76EEB"/>
    <w:rsid w:val="00D804E6"/>
    <w:rsid w:val="00D9685B"/>
    <w:rsid w:val="00DC5E6F"/>
    <w:rsid w:val="00DC7FD4"/>
    <w:rsid w:val="00DD481A"/>
    <w:rsid w:val="00E00EA0"/>
    <w:rsid w:val="00E711C9"/>
    <w:rsid w:val="00E86084"/>
    <w:rsid w:val="00EC5FD3"/>
    <w:rsid w:val="00EE7696"/>
    <w:rsid w:val="00F1464A"/>
    <w:rsid w:val="00F62B24"/>
    <w:rsid w:val="00FA1A34"/>
    <w:rsid w:val="00FC2DEB"/>
    <w:rsid w:val="00FF22CE"/>
    <w:rsid w:val="017E0CD4"/>
    <w:rsid w:val="01910A08"/>
    <w:rsid w:val="01973B44"/>
    <w:rsid w:val="01A3073B"/>
    <w:rsid w:val="01AE15BA"/>
    <w:rsid w:val="01AF179F"/>
    <w:rsid w:val="01D32DCE"/>
    <w:rsid w:val="01FD609D"/>
    <w:rsid w:val="02182ED7"/>
    <w:rsid w:val="023C4E17"/>
    <w:rsid w:val="023F2212"/>
    <w:rsid w:val="024141DC"/>
    <w:rsid w:val="02427F54"/>
    <w:rsid w:val="02612B5C"/>
    <w:rsid w:val="02B20C36"/>
    <w:rsid w:val="02E42DB9"/>
    <w:rsid w:val="033E696D"/>
    <w:rsid w:val="034D095E"/>
    <w:rsid w:val="0361440A"/>
    <w:rsid w:val="03B60BF9"/>
    <w:rsid w:val="03C274DB"/>
    <w:rsid w:val="03F82FC0"/>
    <w:rsid w:val="042F62B6"/>
    <w:rsid w:val="044B7594"/>
    <w:rsid w:val="044C6E68"/>
    <w:rsid w:val="047C599F"/>
    <w:rsid w:val="047F0FEB"/>
    <w:rsid w:val="052A53FB"/>
    <w:rsid w:val="05452235"/>
    <w:rsid w:val="05544226"/>
    <w:rsid w:val="06087AF2"/>
    <w:rsid w:val="061B11E8"/>
    <w:rsid w:val="062E0F1B"/>
    <w:rsid w:val="06654211"/>
    <w:rsid w:val="067B1C86"/>
    <w:rsid w:val="06B6300F"/>
    <w:rsid w:val="06BA4485"/>
    <w:rsid w:val="06DE46EF"/>
    <w:rsid w:val="06FC2DC7"/>
    <w:rsid w:val="074A1D85"/>
    <w:rsid w:val="078132CC"/>
    <w:rsid w:val="07866B35"/>
    <w:rsid w:val="07B7538F"/>
    <w:rsid w:val="07D21D7A"/>
    <w:rsid w:val="07FB6BDB"/>
    <w:rsid w:val="08060514"/>
    <w:rsid w:val="08381BDD"/>
    <w:rsid w:val="08624EAC"/>
    <w:rsid w:val="087B5F6E"/>
    <w:rsid w:val="088A7F5F"/>
    <w:rsid w:val="08F875BE"/>
    <w:rsid w:val="091A7535"/>
    <w:rsid w:val="094445B2"/>
    <w:rsid w:val="0969226A"/>
    <w:rsid w:val="09B434E5"/>
    <w:rsid w:val="09B72FD5"/>
    <w:rsid w:val="09DC2A3C"/>
    <w:rsid w:val="09F528BA"/>
    <w:rsid w:val="0A310FDA"/>
    <w:rsid w:val="0A9652E1"/>
    <w:rsid w:val="0AC0235E"/>
    <w:rsid w:val="0B7C44D7"/>
    <w:rsid w:val="0BF16C73"/>
    <w:rsid w:val="0C2B68DC"/>
    <w:rsid w:val="0C825B1D"/>
    <w:rsid w:val="0CCE22F6"/>
    <w:rsid w:val="0CDB347F"/>
    <w:rsid w:val="0CE045F1"/>
    <w:rsid w:val="0D240982"/>
    <w:rsid w:val="0D9F26FE"/>
    <w:rsid w:val="0DB241E0"/>
    <w:rsid w:val="0DE14AC5"/>
    <w:rsid w:val="0DFE5677"/>
    <w:rsid w:val="0E0B1B42"/>
    <w:rsid w:val="0EC817E1"/>
    <w:rsid w:val="0EE20AF5"/>
    <w:rsid w:val="0F052A35"/>
    <w:rsid w:val="0F307AB2"/>
    <w:rsid w:val="0F3D21CF"/>
    <w:rsid w:val="0F5D461F"/>
    <w:rsid w:val="0FE16FFE"/>
    <w:rsid w:val="1002449F"/>
    <w:rsid w:val="108C5BB3"/>
    <w:rsid w:val="10B93AD7"/>
    <w:rsid w:val="10BD35C7"/>
    <w:rsid w:val="10F13271"/>
    <w:rsid w:val="11000BEA"/>
    <w:rsid w:val="11186A50"/>
    <w:rsid w:val="11203B56"/>
    <w:rsid w:val="11252F1A"/>
    <w:rsid w:val="112E0021"/>
    <w:rsid w:val="11951E4E"/>
    <w:rsid w:val="11BD75F7"/>
    <w:rsid w:val="11E44B84"/>
    <w:rsid w:val="12323B41"/>
    <w:rsid w:val="12661A3D"/>
    <w:rsid w:val="12802AFE"/>
    <w:rsid w:val="13225964"/>
    <w:rsid w:val="13B30CB1"/>
    <w:rsid w:val="13B62550"/>
    <w:rsid w:val="13C7650B"/>
    <w:rsid w:val="13E26EA1"/>
    <w:rsid w:val="14643D5A"/>
    <w:rsid w:val="14C173FE"/>
    <w:rsid w:val="14C50C9C"/>
    <w:rsid w:val="14C64A14"/>
    <w:rsid w:val="151D2886"/>
    <w:rsid w:val="15B12FCF"/>
    <w:rsid w:val="15C56A7A"/>
    <w:rsid w:val="15FA0CD7"/>
    <w:rsid w:val="169C3C7F"/>
    <w:rsid w:val="169F551D"/>
    <w:rsid w:val="16A11295"/>
    <w:rsid w:val="16F5338F"/>
    <w:rsid w:val="17544559"/>
    <w:rsid w:val="177C13BA"/>
    <w:rsid w:val="17F81389"/>
    <w:rsid w:val="17FF6273"/>
    <w:rsid w:val="18407477"/>
    <w:rsid w:val="18583BD5"/>
    <w:rsid w:val="186D58D3"/>
    <w:rsid w:val="18834126"/>
    <w:rsid w:val="189F1804"/>
    <w:rsid w:val="18A24E51"/>
    <w:rsid w:val="18D314AE"/>
    <w:rsid w:val="18F002B2"/>
    <w:rsid w:val="18FA2EDF"/>
    <w:rsid w:val="19063631"/>
    <w:rsid w:val="191A70DD"/>
    <w:rsid w:val="193957B5"/>
    <w:rsid w:val="193E726F"/>
    <w:rsid w:val="19614D0C"/>
    <w:rsid w:val="19A277FE"/>
    <w:rsid w:val="19B117EF"/>
    <w:rsid w:val="19B337B9"/>
    <w:rsid w:val="19C332D1"/>
    <w:rsid w:val="19C534ED"/>
    <w:rsid w:val="19C77265"/>
    <w:rsid w:val="19F31E08"/>
    <w:rsid w:val="1A6745A4"/>
    <w:rsid w:val="1AAE21D3"/>
    <w:rsid w:val="1AD27C6F"/>
    <w:rsid w:val="1ADA6B24"/>
    <w:rsid w:val="1AF5395E"/>
    <w:rsid w:val="1AFA71C6"/>
    <w:rsid w:val="1B252495"/>
    <w:rsid w:val="1B373F76"/>
    <w:rsid w:val="1B395F40"/>
    <w:rsid w:val="1BAA0BEC"/>
    <w:rsid w:val="1BC25F36"/>
    <w:rsid w:val="1BE22134"/>
    <w:rsid w:val="1C0227D6"/>
    <w:rsid w:val="1C69015F"/>
    <w:rsid w:val="1CD6156D"/>
    <w:rsid w:val="1E032835"/>
    <w:rsid w:val="1E114F52"/>
    <w:rsid w:val="1E2527AC"/>
    <w:rsid w:val="1E8F5E77"/>
    <w:rsid w:val="1EB63404"/>
    <w:rsid w:val="1EBB4EBE"/>
    <w:rsid w:val="1ECB5101"/>
    <w:rsid w:val="1F29296D"/>
    <w:rsid w:val="1F69491A"/>
    <w:rsid w:val="1FC009DE"/>
    <w:rsid w:val="1FE3647B"/>
    <w:rsid w:val="20112FE8"/>
    <w:rsid w:val="20337402"/>
    <w:rsid w:val="20384A18"/>
    <w:rsid w:val="20517888"/>
    <w:rsid w:val="20AC0F62"/>
    <w:rsid w:val="20BE47F2"/>
    <w:rsid w:val="21350F58"/>
    <w:rsid w:val="21731A80"/>
    <w:rsid w:val="21B55BF5"/>
    <w:rsid w:val="21C83B7A"/>
    <w:rsid w:val="2268710B"/>
    <w:rsid w:val="228A7081"/>
    <w:rsid w:val="22BA3F45"/>
    <w:rsid w:val="22CA1B74"/>
    <w:rsid w:val="22D64075"/>
    <w:rsid w:val="22E91FFA"/>
    <w:rsid w:val="235C0A1E"/>
    <w:rsid w:val="236B6EB3"/>
    <w:rsid w:val="23AD1279"/>
    <w:rsid w:val="23B95E70"/>
    <w:rsid w:val="24480FA2"/>
    <w:rsid w:val="2452748C"/>
    <w:rsid w:val="245A2A83"/>
    <w:rsid w:val="246851A0"/>
    <w:rsid w:val="249146F7"/>
    <w:rsid w:val="249917FE"/>
    <w:rsid w:val="24DB0068"/>
    <w:rsid w:val="25302162"/>
    <w:rsid w:val="253357AE"/>
    <w:rsid w:val="258949F8"/>
    <w:rsid w:val="25D80104"/>
    <w:rsid w:val="2628108B"/>
    <w:rsid w:val="26712A32"/>
    <w:rsid w:val="267C13D7"/>
    <w:rsid w:val="26C1503C"/>
    <w:rsid w:val="26F92A28"/>
    <w:rsid w:val="26FE1DEC"/>
    <w:rsid w:val="272F1FA5"/>
    <w:rsid w:val="275F6D2E"/>
    <w:rsid w:val="277125BE"/>
    <w:rsid w:val="279664C8"/>
    <w:rsid w:val="27BF157B"/>
    <w:rsid w:val="27D33279"/>
    <w:rsid w:val="27ED6B9C"/>
    <w:rsid w:val="27F51441"/>
    <w:rsid w:val="28304227"/>
    <w:rsid w:val="283755B5"/>
    <w:rsid w:val="2858591E"/>
    <w:rsid w:val="288400CF"/>
    <w:rsid w:val="289214B5"/>
    <w:rsid w:val="28A569C3"/>
    <w:rsid w:val="28CD7CC8"/>
    <w:rsid w:val="28EA087A"/>
    <w:rsid w:val="290F6532"/>
    <w:rsid w:val="291678C1"/>
    <w:rsid w:val="29345F99"/>
    <w:rsid w:val="29543F45"/>
    <w:rsid w:val="296A3769"/>
    <w:rsid w:val="299F1664"/>
    <w:rsid w:val="29E03A2B"/>
    <w:rsid w:val="2A102562"/>
    <w:rsid w:val="2AA64C74"/>
    <w:rsid w:val="2AB56C65"/>
    <w:rsid w:val="2AEB3C5A"/>
    <w:rsid w:val="2AEC6B2B"/>
    <w:rsid w:val="2B011EAB"/>
    <w:rsid w:val="2B193698"/>
    <w:rsid w:val="2B536BAA"/>
    <w:rsid w:val="2B6366C1"/>
    <w:rsid w:val="2B876854"/>
    <w:rsid w:val="2C3562B0"/>
    <w:rsid w:val="2C633EB8"/>
    <w:rsid w:val="2C673F8F"/>
    <w:rsid w:val="2C7E7C57"/>
    <w:rsid w:val="2CCF04B2"/>
    <w:rsid w:val="2D1E0AF2"/>
    <w:rsid w:val="2D256324"/>
    <w:rsid w:val="2D285E15"/>
    <w:rsid w:val="2D652BC5"/>
    <w:rsid w:val="2D9139BA"/>
    <w:rsid w:val="2D9D410D"/>
    <w:rsid w:val="2E1122DB"/>
    <w:rsid w:val="2E3507E9"/>
    <w:rsid w:val="2EB21E3A"/>
    <w:rsid w:val="2EBD433B"/>
    <w:rsid w:val="2F300FB0"/>
    <w:rsid w:val="2F3C7955"/>
    <w:rsid w:val="2F522CD5"/>
    <w:rsid w:val="2F7B66D0"/>
    <w:rsid w:val="2F837A4C"/>
    <w:rsid w:val="2F9A71B5"/>
    <w:rsid w:val="2FDD2EE6"/>
    <w:rsid w:val="2FEF2C1A"/>
    <w:rsid w:val="30406FD1"/>
    <w:rsid w:val="304312C5"/>
    <w:rsid w:val="30C95219"/>
    <w:rsid w:val="30E81B43"/>
    <w:rsid w:val="3135465C"/>
    <w:rsid w:val="313A6116"/>
    <w:rsid w:val="3148438F"/>
    <w:rsid w:val="314E571E"/>
    <w:rsid w:val="31701B38"/>
    <w:rsid w:val="31C003CA"/>
    <w:rsid w:val="320E7B77"/>
    <w:rsid w:val="325F4087"/>
    <w:rsid w:val="32713DBA"/>
    <w:rsid w:val="332B5D17"/>
    <w:rsid w:val="33977850"/>
    <w:rsid w:val="33D740F0"/>
    <w:rsid w:val="342842DC"/>
    <w:rsid w:val="342E1F62"/>
    <w:rsid w:val="344829C9"/>
    <w:rsid w:val="34790D04"/>
    <w:rsid w:val="34AE30A3"/>
    <w:rsid w:val="350E769E"/>
    <w:rsid w:val="3550415A"/>
    <w:rsid w:val="358D2CB9"/>
    <w:rsid w:val="35E548A3"/>
    <w:rsid w:val="35EB79DF"/>
    <w:rsid w:val="35F25212"/>
    <w:rsid w:val="35F92264"/>
    <w:rsid w:val="36317AE8"/>
    <w:rsid w:val="363B0967"/>
    <w:rsid w:val="36996E83"/>
    <w:rsid w:val="36D36DF1"/>
    <w:rsid w:val="36F34D9D"/>
    <w:rsid w:val="37427AD3"/>
    <w:rsid w:val="379C3687"/>
    <w:rsid w:val="38194CD8"/>
    <w:rsid w:val="388C36FB"/>
    <w:rsid w:val="38B60778"/>
    <w:rsid w:val="38BF587F"/>
    <w:rsid w:val="38CC3AF8"/>
    <w:rsid w:val="38FB262F"/>
    <w:rsid w:val="3902576C"/>
    <w:rsid w:val="391D07F7"/>
    <w:rsid w:val="39203E44"/>
    <w:rsid w:val="39534219"/>
    <w:rsid w:val="39663F4D"/>
    <w:rsid w:val="39C46EC5"/>
    <w:rsid w:val="39E11825"/>
    <w:rsid w:val="39FF0CD8"/>
    <w:rsid w:val="3A175247"/>
    <w:rsid w:val="3A2D05C6"/>
    <w:rsid w:val="3A2F07E2"/>
    <w:rsid w:val="3A3000B7"/>
    <w:rsid w:val="3A63223A"/>
    <w:rsid w:val="3A8328DC"/>
    <w:rsid w:val="3A856654"/>
    <w:rsid w:val="3A9C574C"/>
    <w:rsid w:val="3A9E3272"/>
    <w:rsid w:val="3AD76784"/>
    <w:rsid w:val="3ADE5D64"/>
    <w:rsid w:val="3AEA295B"/>
    <w:rsid w:val="3B457B92"/>
    <w:rsid w:val="3B53405D"/>
    <w:rsid w:val="3BAC5E63"/>
    <w:rsid w:val="3BCC2061"/>
    <w:rsid w:val="3BF82E56"/>
    <w:rsid w:val="3BFF41E4"/>
    <w:rsid w:val="3BFF5F92"/>
    <w:rsid w:val="3C526A0A"/>
    <w:rsid w:val="3C5462DE"/>
    <w:rsid w:val="3C577B7C"/>
    <w:rsid w:val="3C7F70D3"/>
    <w:rsid w:val="3CAA4150"/>
    <w:rsid w:val="3CF63839"/>
    <w:rsid w:val="3D12278C"/>
    <w:rsid w:val="3D136199"/>
    <w:rsid w:val="3D6E1622"/>
    <w:rsid w:val="3D711112"/>
    <w:rsid w:val="3D74475E"/>
    <w:rsid w:val="3D9F527F"/>
    <w:rsid w:val="3DB86D41"/>
    <w:rsid w:val="3DEA7081"/>
    <w:rsid w:val="3E154DA9"/>
    <w:rsid w:val="3E546A69"/>
    <w:rsid w:val="3E7E3AE6"/>
    <w:rsid w:val="3EC3774B"/>
    <w:rsid w:val="3ED23E32"/>
    <w:rsid w:val="3EE01103"/>
    <w:rsid w:val="3EE651E8"/>
    <w:rsid w:val="3FC217B1"/>
    <w:rsid w:val="3FE652DA"/>
    <w:rsid w:val="401C35B7"/>
    <w:rsid w:val="403501D5"/>
    <w:rsid w:val="40BE641C"/>
    <w:rsid w:val="40D07EFD"/>
    <w:rsid w:val="41232723"/>
    <w:rsid w:val="41AA4BF2"/>
    <w:rsid w:val="41B255C8"/>
    <w:rsid w:val="41D41C6F"/>
    <w:rsid w:val="42165DE4"/>
    <w:rsid w:val="426B4382"/>
    <w:rsid w:val="426D634C"/>
    <w:rsid w:val="42755200"/>
    <w:rsid w:val="42A81132"/>
    <w:rsid w:val="42C341BE"/>
    <w:rsid w:val="42D00689"/>
    <w:rsid w:val="43192030"/>
    <w:rsid w:val="431F6F1A"/>
    <w:rsid w:val="43B41D58"/>
    <w:rsid w:val="43B9736F"/>
    <w:rsid w:val="43CA332A"/>
    <w:rsid w:val="440E1469"/>
    <w:rsid w:val="441822E7"/>
    <w:rsid w:val="44185E43"/>
    <w:rsid w:val="442E1B0B"/>
    <w:rsid w:val="444E3F5B"/>
    <w:rsid w:val="4464552C"/>
    <w:rsid w:val="446B68BB"/>
    <w:rsid w:val="44A26055"/>
    <w:rsid w:val="44E272A8"/>
    <w:rsid w:val="44EF3FD1"/>
    <w:rsid w:val="457C0654"/>
    <w:rsid w:val="45B55914"/>
    <w:rsid w:val="45C2075D"/>
    <w:rsid w:val="464473C4"/>
    <w:rsid w:val="469D2F78"/>
    <w:rsid w:val="46DA1AD6"/>
    <w:rsid w:val="46FC1A4C"/>
    <w:rsid w:val="47190850"/>
    <w:rsid w:val="47721D0E"/>
    <w:rsid w:val="47BF7590"/>
    <w:rsid w:val="47EF335F"/>
    <w:rsid w:val="487D6BBD"/>
    <w:rsid w:val="490B5F77"/>
    <w:rsid w:val="49736367"/>
    <w:rsid w:val="49C66341"/>
    <w:rsid w:val="49DB1DED"/>
    <w:rsid w:val="49FE5ADB"/>
    <w:rsid w:val="4A0155CC"/>
    <w:rsid w:val="4AA448D5"/>
    <w:rsid w:val="4B1732F9"/>
    <w:rsid w:val="4BA3693A"/>
    <w:rsid w:val="4BC93EC7"/>
    <w:rsid w:val="4BD50ABE"/>
    <w:rsid w:val="4BEA27BB"/>
    <w:rsid w:val="4C147838"/>
    <w:rsid w:val="4C6521D2"/>
    <w:rsid w:val="4C786019"/>
    <w:rsid w:val="4D4E28D6"/>
    <w:rsid w:val="4D722A68"/>
    <w:rsid w:val="4DAF7C6A"/>
    <w:rsid w:val="4E451F2B"/>
    <w:rsid w:val="4E775E5C"/>
    <w:rsid w:val="4E994025"/>
    <w:rsid w:val="4EEF633A"/>
    <w:rsid w:val="4F2E6E63"/>
    <w:rsid w:val="4F322AC9"/>
    <w:rsid w:val="4FA709C3"/>
    <w:rsid w:val="4FD5531F"/>
    <w:rsid w:val="4FDC68BF"/>
    <w:rsid w:val="501F0559"/>
    <w:rsid w:val="50354221"/>
    <w:rsid w:val="5038161B"/>
    <w:rsid w:val="50C01D3C"/>
    <w:rsid w:val="50D8235D"/>
    <w:rsid w:val="51423EF1"/>
    <w:rsid w:val="51450494"/>
    <w:rsid w:val="51491D32"/>
    <w:rsid w:val="5156444F"/>
    <w:rsid w:val="51AC0513"/>
    <w:rsid w:val="51C413B8"/>
    <w:rsid w:val="51ED5BEA"/>
    <w:rsid w:val="52021EE1"/>
    <w:rsid w:val="522E0F28"/>
    <w:rsid w:val="522E717A"/>
    <w:rsid w:val="52416EAD"/>
    <w:rsid w:val="52A336C4"/>
    <w:rsid w:val="52F67C97"/>
    <w:rsid w:val="53146370"/>
    <w:rsid w:val="53486019"/>
    <w:rsid w:val="5349426B"/>
    <w:rsid w:val="5380105E"/>
    <w:rsid w:val="538F3C48"/>
    <w:rsid w:val="539574B0"/>
    <w:rsid w:val="53A771E4"/>
    <w:rsid w:val="53CC6C4A"/>
    <w:rsid w:val="53EE096F"/>
    <w:rsid w:val="53FF492A"/>
    <w:rsid w:val="544762D1"/>
    <w:rsid w:val="54505185"/>
    <w:rsid w:val="545253A1"/>
    <w:rsid w:val="5495703C"/>
    <w:rsid w:val="54992FD0"/>
    <w:rsid w:val="54D9161F"/>
    <w:rsid w:val="54F46459"/>
    <w:rsid w:val="552C5BF2"/>
    <w:rsid w:val="552C79A0"/>
    <w:rsid w:val="55425416"/>
    <w:rsid w:val="55570796"/>
    <w:rsid w:val="55807CEC"/>
    <w:rsid w:val="55B87486"/>
    <w:rsid w:val="561C5C67"/>
    <w:rsid w:val="5621327D"/>
    <w:rsid w:val="56486A5C"/>
    <w:rsid w:val="56867584"/>
    <w:rsid w:val="56A17F1A"/>
    <w:rsid w:val="57560D05"/>
    <w:rsid w:val="57684EDC"/>
    <w:rsid w:val="57727B09"/>
    <w:rsid w:val="578A30A4"/>
    <w:rsid w:val="57A557E8"/>
    <w:rsid w:val="58044C05"/>
    <w:rsid w:val="580C3AB9"/>
    <w:rsid w:val="58177813"/>
    <w:rsid w:val="582E3A30"/>
    <w:rsid w:val="584E5E80"/>
    <w:rsid w:val="58977827"/>
    <w:rsid w:val="58D97E3F"/>
    <w:rsid w:val="59034EBC"/>
    <w:rsid w:val="591946E0"/>
    <w:rsid w:val="593E4146"/>
    <w:rsid w:val="59417793"/>
    <w:rsid w:val="59441031"/>
    <w:rsid w:val="594B0611"/>
    <w:rsid w:val="59561490"/>
    <w:rsid w:val="599124C8"/>
    <w:rsid w:val="59C06909"/>
    <w:rsid w:val="59E20F76"/>
    <w:rsid w:val="59FA62BF"/>
    <w:rsid w:val="5AB75F5E"/>
    <w:rsid w:val="5B953DC6"/>
    <w:rsid w:val="5C076A71"/>
    <w:rsid w:val="5C2C297C"/>
    <w:rsid w:val="5C45759A"/>
    <w:rsid w:val="5C593045"/>
    <w:rsid w:val="5C700ABB"/>
    <w:rsid w:val="5CDF354A"/>
    <w:rsid w:val="5D0C00B7"/>
    <w:rsid w:val="5D83481E"/>
    <w:rsid w:val="5D9663F4"/>
    <w:rsid w:val="5DBB3FB7"/>
    <w:rsid w:val="5E135BA1"/>
    <w:rsid w:val="5E1E4546"/>
    <w:rsid w:val="5E2356B9"/>
    <w:rsid w:val="5E5D6E1D"/>
    <w:rsid w:val="5E710B1A"/>
    <w:rsid w:val="5EBF3633"/>
    <w:rsid w:val="5EFE2B01"/>
    <w:rsid w:val="5F1576F7"/>
    <w:rsid w:val="5FC81A4F"/>
    <w:rsid w:val="5FE02B0A"/>
    <w:rsid w:val="5FE1701C"/>
    <w:rsid w:val="5FEB66AA"/>
    <w:rsid w:val="5FFB68ED"/>
    <w:rsid w:val="60340051"/>
    <w:rsid w:val="60453C66"/>
    <w:rsid w:val="607246D5"/>
    <w:rsid w:val="60793CB6"/>
    <w:rsid w:val="614E0C9F"/>
    <w:rsid w:val="616E1341"/>
    <w:rsid w:val="61B50D1E"/>
    <w:rsid w:val="623B56C7"/>
    <w:rsid w:val="628958C8"/>
    <w:rsid w:val="62D358FF"/>
    <w:rsid w:val="63611187"/>
    <w:rsid w:val="63ED29F1"/>
    <w:rsid w:val="63F9195E"/>
    <w:rsid w:val="642F4DB7"/>
    <w:rsid w:val="647E7AED"/>
    <w:rsid w:val="64AA6B34"/>
    <w:rsid w:val="64AD2180"/>
    <w:rsid w:val="64E060B2"/>
    <w:rsid w:val="65077AE2"/>
    <w:rsid w:val="651B60C2"/>
    <w:rsid w:val="656A1E1F"/>
    <w:rsid w:val="65775586"/>
    <w:rsid w:val="65FC6F1B"/>
    <w:rsid w:val="65FF8136"/>
    <w:rsid w:val="66546D57"/>
    <w:rsid w:val="66903B07"/>
    <w:rsid w:val="66AF21DF"/>
    <w:rsid w:val="66BD3B89"/>
    <w:rsid w:val="66FD65EC"/>
    <w:rsid w:val="671D539B"/>
    <w:rsid w:val="67931B01"/>
    <w:rsid w:val="679F04A6"/>
    <w:rsid w:val="67AE693B"/>
    <w:rsid w:val="67C1666E"/>
    <w:rsid w:val="67FF0F45"/>
    <w:rsid w:val="682E35D8"/>
    <w:rsid w:val="683706DE"/>
    <w:rsid w:val="68541290"/>
    <w:rsid w:val="689E250C"/>
    <w:rsid w:val="68C06926"/>
    <w:rsid w:val="69252C2D"/>
    <w:rsid w:val="69603C65"/>
    <w:rsid w:val="69796AD5"/>
    <w:rsid w:val="69961435"/>
    <w:rsid w:val="69A55B1C"/>
    <w:rsid w:val="69D41F5D"/>
    <w:rsid w:val="69DB32EB"/>
    <w:rsid w:val="6A0942FC"/>
    <w:rsid w:val="6A1D4C73"/>
    <w:rsid w:val="6A4E1D0F"/>
    <w:rsid w:val="6ACD532A"/>
    <w:rsid w:val="6AEA7C8A"/>
    <w:rsid w:val="6B1E7934"/>
    <w:rsid w:val="6B347157"/>
    <w:rsid w:val="6B874A80"/>
    <w:rsid w:val="6B881251"/>
    <w:rsid w:val="6BB362CE"/>
    <w:rsid w:val="6BF07522"/>
    <w:rsid w:val="6C264CF2"/>
    <w:rsid w:val="6C3513D9"/>
    <w:rsid w:val="6C6121CE"/>
    <w:rsid w:val="6D3E42BD"/>
    <w:rsid w:val="6D940381"/>
    <w:rsid w:val="6DBB590E"/>
    <w:rsid w:val="6DE50BDD"/>
    <w:rsid w:val="6DE62B47"/>
    <w:rsid w:val="6E182D60"/>
    <w:rsid w:val="6E3D6323"/>
    <w:rsid w:val="6E4F6056"/>
    <w:rsid w:val="6EC32CCC"/>
    <w:rsid w:val="6ECE1671"/>
    <w:rsid w:val="6EE175F6"/>
    <w:rsid w:val="6F6822D7"/>
    <w:rsid w:val="6F833042"/>
    <w:rsid w:val="6F9E7295"/>
    <w:rsid w:val="6FA80114"/>
    <w:rsid w:val="6FC0720B"/>
    <w:rsid w:val="704B11CB"/>
    <w:rsid w:val="705C7751"/>
    <w:rsid w:val="70FA499F"/>
    <w:rsid w:val="711517D9"/>
    <w:rsid w:val="712776CC"/>
    <w:rsid w:val="71341C5F"/>
    <w:rsid w:val="715B3690"/>
    <w:rsid w:val="71BC7EA6"/>
    <w:rsid w:val="71F15DA2"/>
    <w:rsid w:val="7218332F"/>
    <w:rsid w:val="72421725"/>
    <w:rsid w:val="726F4F19"/>
    <w:rsid w:val="72BD7A32"/>
    <w:rsid w:val="72D8486C"/>
    <w:rsid w:val="72EE22E1"/>
    <w:rsid w:val="72F13B80"/>
    <w:rsid w:val="72FA5CB5"/>
    <w:rsid w:val="72FF004B"/>
    <w:rsid w:val="735465E8"/>
    <w:rsid w:val="73993FFB"/>
    <w:rsid w:val="73C60B68"/>
    <w:rsid w:val="742F4960"/>
    <w:rsid w:val="745368A0"/>
    <w:rsid w:val="74620891"/>
    <w:rsid w:val="74F160B9"/>
    <w:rsid w:val="758E56B6"/>
    <w:rsid w:val="75C31803"/>
    <w:rsid w:val="75D51537"/>
    <w:rsid w:val="75DC4673"/>
    <w:rsid w:val="76360227"/>
    <w:rsid w:val="76465F91"/>
    <w:rsid w:val="766C3C49"/>
    <w:rsid w:val="76854D0B"/>
    <w:rsid w:val="768A0573"/>
    <w:rsid w:val="772207AC"/>
    <w:rsid w:val="7730111A"/>
    <w:rsid w:val="773C7ABF"/>
    <w:rsid w:val="775F555C"/>
    <w:rsid w:val="7772528F"/>
    <w:rsid w:val="77901BB9"/>
    <w:rsid w:val="77A43A6B"/>
    <w:rsid w:val="77E617D9"/>
    <w:rsid w:val="77EFFCF2"/>
    <w:rsid w:val="780D4FB8"/>
    <w:rsid w:val="782347DB"/>
    <w:rsid w:val="78280044"/>
    <w:rsid w:val="78680440"/>
    <w:rsid w:val="789E20B4"/>
    <w:rsid w:val="78A0407E"/>
    <w:rsid w:val="78A7540C"/>
    <w:rsid w:val="78AD18CD"/>
    <w:rsid w:val="78DD498A"/>
    <w:rsid w:val="78E71CAD"/>
    <w:rsid w:val="7924080B"/>
    <w:rsid w:val="796926C2"/>
    <w:rsid w:val="797C218B"/>
    <w:rsid w:val="79A731EA"/>
    <w:rsid w:val="79EB1329"/>
    <w:rsid w:val="7A123DB6"/>
    <w:rsid w:val="7A6B246A"/>
    <w:rsid w:val="7A8552D9"/>
    <w:rsid w:val="7ACC2F08"/>
    <w:rsid w:val="7B114DBF"/>
    <w:rsid w:val="7B4E6013"/>
    <w:rsid w:val="7B580C40"/>
    <w:rsid w:val="7B7A2964"/>
    <w:rsid w:val="7B803CF3"/>
    <w:rsid w:val="7BEECF46"/>
    <w:rsid w:val="7BF704C2"/>
    <w:rsid w:val="7C0B0F2B"/>
    <w:rsid w:val="7C945CA8"/>
    <w:rsid w:val="7CBA20AA"/>
    <w:rsid w:val="7D884CF3"/>
    <w:rsid w:val="7DC2087C"/>
    <w:rsid w:val="7E4454AB"/>
    <w:rsid w:val="7EA128FE"/>
    <w:rsid w:val="7EFF776B"/>
    <w:rsid w:val="7F337154"/>
    <w:rsid w:val="7FA97CBC"/>
    <w:rsid w:val="7FED152D"/>
    <w:rsid w:val="7FFD7E66"/>
    <w:rsid w:val="CE171D70"/>
    <w:rsid w:val="D7CDF66E"/>
    <w:rsid w:val="E7CA49CF"/>
    <w:rsid w:val="F7AF7F2A"/>
    <w:rsid w:val="F9FFD381"/>
    <w:rsid w:val="FDFED87C"/>
    <w:rsid w:val="FE7BB6CB"/>
    <w:rsid w:val="FEBB4D4C"/>
    <w:rsid w:val="FEFB5316"/>
    <w:rsid w:val="FF1FD1FC"/>
    <w:rsid w:val="FFC43CF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qFormat/>
    <w:uiPriority w:val="0"/>
    <w:pPr>
      <w:keepNext/>
      <w:keepLines/>
      <w:outlineLvl w:val="1"/>
    </w:pPr>
    <w:rPr>
      <w:rFonts w:ascii="Cambria" w:hAnsi="Cambria" w:eastAsia="宋体" w:cs="Times New Roman"/>
      <w:b/>
      <w:bCs/>
      <w:color w:val="000000"/>
      <w:sz w:val="32"/>
      <w:szCs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3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15"/>
    <w:autoRedefine/>
    <w:qFormat/>
    <w:uiPriority w:val="0"/>
    <w:rPr>
      <w:rFonts w:ascii="宋体"/>
      <w:sz w:val="18"/>
      <w:szCs w:val="18"/>
    </w:rPr>
  </w:style>
  <w:style w:type="paragraph" w:styleId="6">
    <w:name w:val="toc 3"/>
    <w:basedOn w:val="1"/>
    <w:next w:val="1"/>
    <w:autoRedefine/>
    <w:qFormat/>
    <w:uiPriority w:val="0"/>
    <w:pPr>
      <w:ind w:left="480"/>
    </w:pPr>
  </w:style>
  <w:style w:type="paragraph" w:styleId="7">
    <w:name w:val="footer"/>
    <w:basedOn w:val="1"/>
    <w:link w:val="16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7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qFormat/>
    <w:uiPriority w:val="39"/>
  </w:style>
  <w:style w:type="paragraph" w:styleId="10">
    <w:name w:val="toc 2"/>
    <w:basedOn w:val="1"/>
    <w:next w:val="1"/>
    <w:autoRedefine/>
    <w:qFormat/>
    <w:uiPriority w:val="39"/>
    <w:pPr>
      <w:ind w:left="420" w:leftChars="200"/>
    </w:pPr>
  </w:style>
  <w:style w:type="paragraph" w:styleId="11">
    <w:name w:val="Title"/>
    <w:basedOn w:val="1"/>
    <w:next w:val="1"/>
    <w:autoRedefine/>
    <w:qFormat/>
    <w:uiPriority w:val="0"/>
    <w:pPr>
      <w:spacing w:before="240" w:after="60"/>
      <w:jc w:val="center"/>
      <w:outlineLvl w:val="0"/>
    </w:pPr>
    <w:rPr>
      <w:rFonts w:ascii="Calibri Light" w:hAnsi="Calibri Light" w:eastAsia="宋体" w:cs="Times New Roman"/>
      <w:b/>
      <w:bCs/>
      <w:sz w:val="32"/>
      <w:szCs w:val="32"/>
    </w:rPr>
  </w:style>
  <w:style w:type="character" w:styleId="14">
    <w:name w:val="Hyperlink"/>
    <w:basedOn w:val="13"/>
    <w:autoRedefine/>
    <w:unhideWhenUsed/>
    <w:qFormat/>
    <w:uiPriority w:val="99"/>
    <w:rPr>
      <w:color w:val="0000FF"/>
      <w:u w:val="single"/>
    </w:rPr>
  </w:style>
  <w:style w:type="character" w:customStyle="1" w:styleId="15">
    <w:name w:val="文档结构图 Char"/>
    <w:basedOn w:val="13"/>
    <w:link w:val="5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6">
    <w:name w:val="页脚 Char"/>
    <w:basedOn w:val="13"/>
    <w:link w:val="7"/>
    <w:autoRedefine/>
    <w:qFormat/>
    <w:uiPriority w:val="0"/>
    <w:rPr>
      <w:rFonts w:ascii="Calibri" w:hAnsi="Calibri"/>
      <w:kern w:val="2"/>
      <w:sz w:val="18"/>
      <w:szCs w:val="18"/>
    </w:rPr>
  </w:style>
  <w:style w:type="character" w:customStyle="1" w:styleId="17">
    <w:name w:val="页眉 Char"/>
    <w:basedOn w:val="13"/>
    <w:link w:val="8"/>
    <w:autoRedefine/>
    <w:qFormat/>
    <w:uiPriority w:val="0"/>
    <w:rPr>
      <w:rFonts w:ascii="Calibri" w:hAnsi="Calibri"/>
      <w:kern w:val="2"/>
      <w:sz w:val="18"/>
      <w:szCs w:val="18"/>
    </w:rPr>
  </w:style>
  <w:style w:type="paragraph" w:customStyle="1" w:styleId="18">
    <w:name w:val="WPSOffice手动目录 1"/>
    <w:autoRedefine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19">
    <w:name w:val="WPSOffice手动目录 2"/>
    <w:autoRedefine/>
    <w:qFormat/>
    <w:uiPriority w:val="0"/>
    <w:pPr>
      <w:ind w:leftChars="200"/>
    </w:pPr>
    <w:rPr>
      <w:rFonts w:ascii="Calibri" w:hAnsi="Calibri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2243</Words>
  <Characters>2315</Characters>
  <Lines>28</Lines>
  <Paragraphs>8</Paragraphs>
  <TotalTime>0</TotalTime>
  <ScaleCrop>false</ScaleCrop>
  <LinksUpToDate>false</LinksUpToDate>
  <CharactersWithSpaces>2353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2021-12-10T05:21:00Z</dcterms:created>
  <dc:creator>Administrator</dc:creator>
  <cp:lastModifiedBy>Rin</cp:lastModifiedBy>
  <dcterms:modified xsi:type="dcterms:W3CDTF">2024-04-24T09:26:04Z</dcterms:modified>
  <cp:revision>75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19458F01ECA3F2725F7B5C65FB2EE914_43</vt:lpwstr>
  </property>
  <property fmtid="{D5CDD505-2E9C-101B-9397-08002B2CF9AE}" pid="3" name="KSOProductBuildVer">
    <vt:lpwstr>2052-12.1.0.16729</vt:lpwstr>
  </property>
</Properties>
</file>