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562" w:firstLineChars="100"/>
        <w:jc w:val="center"/>
        <w:rPr>
          <w:rFonts w:hint="eastAsia" w:ascii="宋体" w:hAnsi="宋体"/>
          <w:b/>
          <w:sz w:val="56"/>
          <w:szCs w:val="52"/>
        </w:rPr>
      </w:pPr>
      <w:bookmarkStart w:id="0" w:name="_Toc4070"/>
      <w:r>
        <w:rPr>
          <w:rFonts w:ascii="宋体" w:hAnsi="宋体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100"/>
        <w:rPr>
          <w:rFonts w:ascii="宋体" w:hAnsi="宋体"/>
          <w:b/>
          <w:sz w:val="56"/>
          <w:szCs w:val="52"/>
        </w:rPr>
      </w:pPr>
      <w:r>
        <w:rPr>
          <w:rFonts w:hint="eastAsia" w:ascii="宋体" w:hAnsi="宋体"/>
          <w:b/>
          <w:sz w:val="56"/>
          <w:szCs w:val="52"/>
        </w:rPr>
        <w:t>维普毕业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论文</w:t>
      </w:r>
      <w:r>
        <w:rPr>
          <w:rFonts w:hint="eastAsia" w:ascii="宋体" w:hAnsi="宋体"/>
          <w:b/>
          <w:sz w:val="56"/>
          <w:szCs w:val="52"/>
        </w:rPr>
        <w:t>（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设计</w:t>
      </w:r>
      <w:r>
        <w:rPr>
          <w:rFonts w:hint="eastAsia" w:ascii="宋体" w:hAnsi="宋体"/>
          <w:b/>
          <w:sz w:val="56"/>
          <w:szCs w:val="52"/>
        </w:rPr>
        <w:t>）管理系统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ascii="宋体" w:hAnsi="宋体"/>
          <w:b/>
          <w:sz w:val="56"/>
          <w:szCs w:val="52"/>
        </w:rPr>
      </w:pPr>
      <w:bookmarkStart w:id="1" w:name="_Toc1287"/>
      <w:r>
        <w:rPr>
          <w:rFonts w:hint="eastAsia" w:ascii="宋体" w:hAnsi="宋体"/>
          <w:b/>
          <w:sz w:val="56"/>
          <w:szCs w:val="52"/>
        </w:rPr>
        <w:t>用户操作手册</w:t>
      </w:r>
      <w:bookmarkEnd w:id="1"/>
    </w:p>
    <w:p>
      <w:pPr>
        <w:jc w:val="center"/>
        <w:rPr>
          <w:rFonts w:ascii="宋体" w:hAnsi="宋体"/>
          <w:b/>
          <w:sz w:val="48"/>
          <w:szCs w:val="52"/>
        </w:rPr>
      </w:pPr>
      <w:r>
        <w:rPr>
          <w:rFonts w:hint="eastAsia" w:ascii="宋体" w:hAnsi="宋体"/>
          <w:b/>
          <w:sz w:val="48"/>
          <w:szCs w:val="52"/>
        </w:rPr>
        <w:t>（</w:t>
      </w:r>
      <w:r>
        <w:rPr>
          <w:rFonts w:hint="eastAsia" w:ascii="宋体" w:hAnsi="宋体"/>
          <w:b/>
          <w:sz w:val="48"/>
          <w:szCs w:val="52"/>
          <w:lang w:val="en-US" w:eastAsia="zh-CN"/>
        </w:rPr>
        <w:t>教学秘书</w:t>
      </w:r>
      <w:r>
        <w:rPr>
          <w:rFonts w:ascii="宋体" w:hAnsi="宋体"/>
          <w:b/>
          <w:sz w:val="48"/>
          <w:u w:color="auto"/>
        </w:rPr>
        <w:t>角色</w:t>
      </w:r>
      <w:r>
        <w:rPr>
          <w:rFonts w:hint="eastAsia" w:ascii="宋体" w:hAnsi="宋体"/>
          <w:b/>
          <w:sz w:val="48"/>
          <w:szCs w:val="52"/>
        </w:rPr>
        <w:t>）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重庆泛语科技有限公司</w:t>
      </w:r>
    </w:p>
    <w:p>
      <w:pPr>
        <w:jc w:val="center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/>
          <w:sz w:val="30"/>
          <w:szCs w:val="30"/>
          <w:lang w:val="en-US" w:eastAsia="zh-CN"/>
        </w:rPr>
        <w:t>二〇二四年四月二十四日</w:t>
      </w:r>
    </w:p>
    <w:p>
      <w:pPr>
        <w:rPr>
          <w:rFonts w:hint="eastAsia"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br w:type="page"/>
      </w:r>
    </w:p>
    <w:p>
      <w:pPr>
        <w:bidi w:val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目 录</w:t>
      </w:r>
    </w:p>
    <w:p>
      <w:pPr>
        <w:pStyle w:val="9"/>
        <w:tabs>
          <w:tab w:val="right" w:leader="dot" w:pos="8306"/>
        </w:tabs>
      </w:pPr>
      <w:r>
        <w:fldChar w:fldCharType="begin"/>
      </w:r>
      <w:r>
        <w:instrText xml:space="preserve">TOC \o</w:instrText>
      </w:r>
      <w:r>
        <w:fldChar w:fldCharType="separate"/>
      </w:r>
      <w:r>
        <w:rPr>
          <w:rFonts w:hint="default"/>
        </w:rPr>
        <w:t xml:space="preserve">一、 </w:t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_Toc19319 \h </w:instrText>
      </w:r>
      <w:r>
        <w:fldChar w:fldCharType="separate"/>
      </w:r>
      <w:r>
        <w:t>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/>
        </w:rPr>
        <w:t xml:space="preserve">二、 </w:t>
      </w:r>
      <w:r>
        <w:rPr>
          <w:rFonts w:hint="eastAsia"/>
        </w:rPr>
        <w:t>个人设置</w:t>
      </w:r>
      <w:r>
        <w:tab/>
      </w:r>
      <w:r>
        <w:fldChar w:fldCharType="begin"/>
      </w:r>
      <w:r>
        <w:instrText xml:space="preserve"> PAGEREF _Toc13437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1、个人信息</w:t>
      </w:r>
      <w:r>
        <w:tab/>
      </w:r>
      <w:r>
        <w:fldChar w:fldCharType="begin"/>
      </w:r>
      <w:r>
        <w:instrText xml:space="preserve"> PAGEREF _Toc22890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2、安全中心</w:t>
      </w:r>
      <w:r>
        <w:tab/>
      </w:r>
      <w:r>
        <w:fldChar w:fldCharType="begin"/>
      </w:r>
      <w:r>
        <w:instrText xml:space="preserve"> PAGEREF _Toc17107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 w:ascii="Calibri" w:hAnsi="Calibri" w:eastAsia="宋体" w:cs="Times New Roman"/>
          <w:lang w:val="en-US" w:eastAsia="zh-CN"/>
        </w:rPr>
        <w:t xml:space="preserve">三、 </w:t>
      </w:r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r>
        <w:tab/>
      </w:r>
      <w:r>
        <w:fldChar w:fldCharType="begin"/>
      </w:r>
      <w:r>
        <w:instrText xml:space="preserve"> PAGEREF _Toc21882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1.组织账号管理</w:t>
      </w:r>
      <w:r>
        <w:tab/>
      </w:r>
      <w:r>
        <w:fldChar w:fldCharType="begin"/>
      </w:r>
      <w:r>
        <w:instrText xml:space="preserve"> PAGEREF _Toc27277 \h </w:instrText>
      </w:r>
      <w:r>
        <w:fldChar w:fldCharType="separate"/>
      </w:r>
      <w:r>
        <w:t>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1.1组织架构</w:t>
      </w:r>
      <w:r>
        <w:tab/>
      </w:r>
      <w:r>
        <w:fldChar w:fldCharType="begin"/>
      </w:r>
      <w:r>
        <w:instrText xml:space="preserve"> PAGEREF _Toc22318 \h </w:instrText>
      </w:r>
      <w:r>
        <w:fldChar w:fldCharType="separate"/>
      </w:r>
      <w:r>
        <w:t>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1.2账号管理</w:t>
      </w:r>
      <w:r>
        <w:tab/>
      </w:r>
      <w:r>
        <w:fldChar w:fldCharType="begin"/>
      </w:r>
      <w:r>
        <w:instrText xml:space="preserve"> PAGEREF _Toc5361 \h </w:instrText>
      </w:r>
      <w:r>
        <w:fldChar w:fldCharType="separate"/>
      </w:r>
      <w:r>
        <w:t>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1.2.1学生管理</w:t>
      </w:r>
      <w:r>
        <w:tab/>
      </w:r>
      <w:r>
        <w:fldChar w:fldCharType="begin"/>
      </w:r>
      <w:r>
        <w:instrText xml:space="preserve"> PAGEREF _Toc31521 \h </w:instrText>
      </w:r>
      <w:r>
        <w:fldChar w:fldCharType="separate"/>
      </w:r>
      <w:r>
        <w:t>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1.2.2教师管理</w:t>
      </w:r>
      <w:r>
        <w:tab/>
      </w:r>
      <w:r>
        <w:fldChar w:fldCharType="begin"/>
      </w:r>
      <w:r>
        <w:instrText xml:space="preserve"> PAGEREF _Toc10968 \h </w:instrText>
      </w:r>
      <w:r>
        <w:fldChar w:fldCharType="separate"/>
      </w:r>
      <w:r>
        <w:t>9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2.检测管理</w:t>
      </w:r>
      <w:r>
        <w:tab/>
      </w:r>
      <w:r>
        <w:fldChar w:fldCharType="begin"/>
      </w:r>
      <w:r>
        <w:instrText xml:space="preserve"> PAGEREF _Toc29392 \h </w:instrText>
      </w:r>
      <w:r>
        <w:fldChar w:fldCharType="separate"/>
      </w:r>
      <w:r>
        <w:t>11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2.1检测次数分配</w:t>
      </w:r>
      <w:r>
        <w:tab/>
      </w:r>
      <w:r>
        <w:fldChar w:fldCharType="begin"/>
      </w:r>
      <w:r>
        <w:instrText xml:space="preserve"> PAGEREF _Toc23492 \h </w:instrText>
      </w:r>
      <w:r>
        <w:fldChar w:fldCharType="separate"/>
      </w:r>
      <w:r>
        <w:t>11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2.1.1给学生分配检测次数</w:t>
      </w:r>
      <w:r>
        <w:tab/>
      </w:r>
      <w:r>
        <w:fldChar w:fldCharType="begin"/>
      </w:r>
      <w:r>
        <w:instrText xml:space="preserve"> PAGEREF _Toc19392 \h </w:instrText>
      </w:r>
      <w:r>
        <w:fldChar w:fldCharType="separate"/>
      </w:r>
      <w:r>
        <w:t>11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2.2检测查询</w:t>
      </w:r>
      <w:r>
        <w:tab/>
      </w:r>
      <w:r>
        <w:fldChar w:fldCharType="begin"/>
      </w:r>
      <w:r>
        <w:instrText xml:space="preserve"> PAGEREF _Toc29422 \h </w:instrText>
      </w:r>
      <w:r>
        <w:fldChar w:fldCharType="separate"/>
      </w:r>
      <w:r>
        <w:t>12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2.2.1检测明细查询</w:t>
      </w:r>
      <w:r>
        <w:tab/>
      </w:r>
      <w:r>
        <w:fldChar w:fldCharType="begin"/>
      </w:r>
      <w:r>
        <w:instrText xml:space="preserve"> PAGEREF _Toc28913 \h </w:instrText>
      </w:r>
      <w:r>
        <w:fldChar w:fldCharType="separate"/>
      </w:r>
      <w:r>
        <w:t>12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3.选题管理</w:t>
      </w:r>
      <w:r>
        <w:tab/>
      </w:r>
      <w:r>
        <w:fldChar w:fldCharType="begin"/>
      </w:r>
      <w:r>
        <w:instrText xml:space="preserve"> PAGEREF _Toc20853 \h </w:instrText>
      </w:r>
      <w:r>
        <w:fldChar w:fldCharType="separate"/>
      </w:r>
      <w:r>
        <w:t>13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3.1课题</w:t>
      </w:r>
      <w:r>
        <w:tab/>
      </w:r>
      <w:r>
        <w:fldChar w:fldCharType="begin"/>
      </w:r>
      <w:r>
        <w:instrText xml:space="preserve"> PAGEREF _Toc16561 \h </w:instrText>
      </w:r>
      <w:r>
        <w:fldChar w:fldCharType="separate"/>
      </w:r>
      <w:r>
        <w:t>13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3.1.1</w:t>
      </w:r>
      <w:r>
        <w:rPr>
          <w:rFonts w:hint="eastAsia"/>
          <w:u w:color="auto"/>
          <w:lang w:val="en-US" w:eastAsia="zh-CN"/>
        </w:rPr>
        <w:t>导入</w:t>
      </w:r>
      <w:r>
        <w:rPr>
          <w:u w:color="auto"/>
        </w:rPr>
        <w:t>课题</w:t>
      </w:r>
      <w:r>
        <w:rPr>
          <w:rFonts w:hint="eastAsia"/>
          <w:u w:color="auto"/>
          <w:lang w:val="en-US" w:eastAsia="zh-CN"/>
        </w:rPr>
        <w:t>和选题</w:t>
      </w:r>
      <w:r>
        <w:tab/>
      </w:r>
      <w:r>
        <w:fldChar w:fldCharType="begin"/>
      </w:r>
      <w:r>
        <w:instrText xml:space="preserve"> PAGEREF _Toc8020 \h </w:instrText>
      </w:r>
      <w:r>
        <w:fldChar w:fldCharType="separate"/>
      </w:r>
      <w:r>
        <w:t>13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3.1.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审核课题</w:t>
      </w:r>
      <w:r>
        <w:tab/>
      </w:r>
      <w:r>
        <w:fldChar w:fldCharType="begin"/>
      </w:r>
      <w:r>
        <w:instrText xml:space="preserve"> PAGEREF _Toc8786 \h </w:instrText>
      </w:r>
      <w:r>
        <w:fldChar w:fldCharType="separate"/>
      </w:r>
      <w:r>
        <w:t>14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3.2题目修改与审核</w:t>
      </w:r>
      <w:r>
        <w:tab/>
      </w:r>
      <w:r>
        <w:fldChar w:fldCharType="begin"/>
      </w:r>
      <w:r>
        <w:instrText xml:space="preserve"> PAGEREF _Toc4306 \h </w:instrText>
      </w:r>
      <w:r>
        <w:fldChar w:fldCharType="separate"/>
      </w:r>
      <w:r>
        <w:t>15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3.2.1审核题目修改</w:t>
      </w:r>
      <w:r>
        <w:tab/>
      </w:r>
      <w:r>
        <w:fldChar w:fldCharType="begin"/>
      </w:r>
      <w:r>
        <w:instrText xml:space="preserve"> PAGEREF _Toc8788 \h </w:instrText>
      </w:r>
      <w:r>
        <w:fldChar w:fldCharType="separate"/>
      </w:r>
      <w:r>
        <w:t>15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4.过程管理</w:t>
      </w:r>
      <w:r>
        <w:tab/>
      </w:r>
      <w:r>
        <w:fldChar w:fldCharType="begin"/>
      </w:r>
      <w:r>
        <w:instrText xml:space="preserve"> PAGEREF _Toc19579 \h </w:instrText>
      </w:r>
      <w:r>
        <w:fldChar w:fldCharType="separate"/>
      </w:r>
      <w:r>
        <w:t>17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4.1开题报告</w:t>
      </w:r>
      <w:r>
        <w:tab/>
      </w:r>
      <w:r>
        <w:fldChar w:fldCharType="begin"/>
      </w:r>
      <w:r>
        <w:instrText xml:space="preserve"> PAGEREF _Toc4341 \h </w:instrText>
      </w:r>
      <w:r>
        <w:fldChar w:fldCharType="separate"/>
      </w:r>
      <w:r>
        <w:t>17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4.1.1审核开题报告</w:t>
      </w:r>
      <w:r>
        <w:tab/>
      </w:r>
      <w:r>
        <w:fldChar w:fldCharType="begin"/>
      </w:r>
      <w:r>
        <w:instrText xml:space="preserve"> PAGEREF _Toc7657 \h </w:instrText>
      </w:r>
      <w:r>
        <w:fldChar w:fldCharType="separate"/>
      </w:r>
      <w:r>
        <w:t>17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开题</w:t>
      </w:r>
      <w:r>
        <w:rPr>
          <w:rFonts w:hint="eastAsia"/>
          <w:u w:color="auto"/>
          <w:lang w:val="en-US" w:eastAsia="zh-CN"/>
        </w:rPr>
        <w:t>答辩</w:t>
      </w:r>
      <w:r>
        <w:tab/>
      </w:r>
      <w:r>
        <w:fldChar w:fldCharType="begin"/>
      </w:r>
      <w:r>
        <w:instrText xml:space="preserve"> PAGEREF _Toc15955 \h </w:instrText>
      </w:r>
      <w:r>
        <w:fldChar w:fldCharType="separate"/>
      </w:r>
      <w:r>
        <w:t>18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.1</w:t>
      </w:r>
      <w:r>
        <w:rPr>
          <w:rFonts w:hint="eastAsia"/>
          <w:u w:color="auto"/>
          <w:lang w:val="en-US" w:eastAsia="zh-CN"/>
        </w:rPr>
        <w:t>导入开题答辩记录</w:t>
      </w:r>
      <w:r>
        <w:tab/>
      </w:r>
      <w:r>
        <w:fldChar w:fldCharType="begin"/>
      </w:r>
      <w:r>
        <w:instrText xml:space="preserve"> PAGEREF _Toc17391 \h </w:instrText>
      </w:r>
      <w:r>
        <w:fldChar w:fldCharType="separate"/>
      </w:r>
      <w:r>
        <w:t>18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5.评分管理</w:t>
      </w:r>
      <w:r>
        <w:tab/>
      </w:r>
      <w:r>
        <w:fldChar w:fldCharType="begin"/>
      </w:r>
      <w:r>
        <w:instrText xml:space="preserve"> PAGEREF _Toc2175 \h </w:instrText>
      </w:r>
      <w:r>
        <w:fldChar w:fldCharType="separate"/>
      </w:r>
      <w:r>
        <w:t>19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5.1分配评阅教师</w:t>
      </w:r>
      <w:r>
        <w:tab/>
      </w:r>
      <w:r>
        <w:fldChar w:fldCharType="begin"/>
      </w:r>
      <w:r>
        <w:instrText xml:space="preserve"> PAGEREF _Toc23766 \h </w:instrText>
      </w:r>
      <w:r>
        <w:fldChar w:fldCharType="separate"/>
      </w:r>
      <w:r>
        <w:t>19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val="en-US" w:eastAsia="zh-CN"/>
        </w:rPr>
        <w:t>5.2批量导入分配评阅教师</w:t>
      </w:r>
      <w:r>
        <w:tab/>
      </w:r>
      <w:r>
        <w:fldChar w:fldCharType="begin"/>
      </w:r>
      <w:r>
        <w:instrText xml:space="preserve"> PAGEREF _Toc21291 \h </w:instrText>
      </w:r>
      <w:r>
        <w:fldChar w:fldCharType="separate"/>
      </w:r>
      <w:r>
        <w:t>20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val="en-US" w:eastAsia="zh-CN"/>
        </w:rPr>
        <w:t>5.3分配答辩组</w:t>
      </w:r>
      <w:r>
        <w:tab/>
      </w:r>
      <w:r>
        <w:fldChar w:fldCharType="begin"/>
      </w:r>
      <w:r>
        <w:instrText xml:space="preserve"> PAGEREF _Toc18897 \h </w:instrText>
      </w:r>
      <w:r>
        <w:fldChar w:fldCharType="separate"/>
      </w:r>
      <w:r>
        <w:t>21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val="en-US" w:eastAsia="zh-CN"/>
        </w:rPr>
        <w:t>5.4批量导入分配答辩组</w:t>
      </w:r>
      <w:r>
        <w:tab/>
      </w:r>
      <w:r>
        <w:fldChar w:fldCharType="begin"/>
      </w:r>
      <w:r>
        <w:instrText xml:space="preserve"> PAGEREF _Toc32225 \h </w:instrText>
      </w:r>
      <w:r>
        <w:fldChar w:fldCharType="separate"/>
      </w:r>
      <w:r>
        <w:t>23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5导入答辩评分</w:t>
      </w:r>
      <w:r>
        <w:tab/>
      </w:r>
      <w:r>
        <w:fldChar w:fldCharType="begin"/>
      </w:r>
      <w:r>
        <w:instrText xml:space="preserve"> PAGEREF _Toc27353 \h </w:instrText>
      </w:r>
      <w:r>
        <w:fldChar w:fldCharType="separate"/>
      </w:r>
      <w:r>
        <w:t>25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总评</w:t>
      </w:r>
      <w:r>
        <w:tab/>
      </w:r>
      <w:r>
        <w:fldChar w:fldCharType="begin"/>
      </w:r>
      <w:r>
        <w:instrText xml:space="preserve"> PAGEREF _Toc21736 \h </w:instrText>
      </w:r>
      <w:r>
        <w:fldChar w:fldCharType="separate"/>
      </w:r>
      <w:r>
        <w:t>26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.1查看总评成绩</w:t>
      </w:r>
      <w:r>
        <w:tab/>
      </w:r>
      <w:r>
        <w:fldChar w:fldCharType="begin"/>
      </w:r>
      <w:r>
        <w:instrText xml:space="preserve"> PAGEREF _Toc24199 \h </w:instrText>
      </w:r>
      <w:r>
        <w:fldChar w:fldCharType="separate"/>
      </w:r>
      <w:r>
        <w:t>26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r>
        <w:tab/>
      </w:r>
      <w:r>
        <w:fldChar w:fldCharType="begin"/>
      </w:r>
      <w:r>
        <w:instrText xml:space="preserve"> PAGEREF _Toc6711 \h </w:instrText>
      </w:r>
      <w:r>
        <w:fldChar w:fldCharType="separate"/>
      </w:r>
      <w:r>
        <w:t>27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r>
        <w:tab/>
      </w:r>
      <w:r>
        <w:fldChar w:fldCharType="begin"/>
      </w:r>
      <w:r>
        <w:instrText xml:space="preserve"> PAGEREF _Toc3500 \h </w:instrText>
      </w:r>
      <w:r>
        <w:fldChar w:fldCharType="separate"/>
      </w:r>
      <w:r>
        <w:t>27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1、站内信</w:t>
      </w:r>
      <w:r>
        <w:tab/>
      </w:r>
      <w:r>
        <w:fldChar w:fldCharType="begin"/>
      </w:r>
      <w:r>
        <w:instrText xml:space="preserve"> PAGEREF _Toc28463 \h </w:instrText>
      </w:r>
      <w:r>
        <w:fldChar w:fldCharType="separate"/>
      </w:r>
      <w:r>
        <w:t>27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2、公告管理</w:t>
      </w:r>
      <w:r>
        <w:tab/>
      </w:r>
      <w:r>
        <w:fldChar w:fldCharType="begin"/>
      </w:r>
      <w:r>
        <w:instrText xml:space="preserve"> PAGEREF _Toc18610 \h </w:instrText>
      </w:r>
      <w:r>
        <w:fldChar w:fldCharType="separate"/>
      </w:r>
      <w:r>
        <w:t>27</w:t>
      </w:r>
      <w:r>
        <w:fldChar w:fldCharType="end"/>
      </w:r>
    </w:p>
    <w:p>
      <w:pPr>
        <w:ind w:firstLine="2100" w:firstLineChars="1000"/>
        <w:jc w:val="left"/>
        <w:rPr>
          <w:rFonts w:hint="default" w:ascii="宋体" w:hAnsi="宋体" w:eastAsia="宋体"/>
          <w:b/>
          <w:szCs w:val="30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fldChar w:fldCharType="end"/>
      </w:r>
    </w:p>
    <w:p>
      <w:pPr>
        <w:ind w:firstLine="2108" w:firstLineChars="1000"/>
        <w:rPr>
          <w:rFonts w:hint="eastAsia" w:ascii="宋体" w:hAnsi="宋体"/>
          <w:b/>
          <w:szCs w:val="30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2" w:name="_Toc14559"/>
      <w:bookmarkStart w:id="3" w:name="_Toc19319"/>
      <w:r>
        <w:rPr>
          <w:rFonts w:hint="eastAsia"/>
        </w:rPr>
        <w:t>系统登录</w:t>
      </w:r>
      <w:bookmarkEnd w:id="0"/>
      <w:bookmarkEnd w:id="2"/>
      <w:bookmarkEnd w:id="3"/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</w:rPr>
        <w:t>打开网址https://vgms.fanyu.com/，选择学校“</w:t>
      </w:r>
      <w:r>
        <w:rPr>
          <w:rFonts w:hint="eastAsia" w:ascii="宋体" w:hAnsi="宋体" w:cs="宋体"/>
          <w:lang w:val="en-US" w:eastAsia="zh-CN"/>
        </w:rPr>
        <w:t>成都文理学院</w:t>
      </w:r>
      <w:r>
        <w:rPr>
          <w:rFonts w:hint="eastAsia" w:ascii="宋体" w:hAnsi="宋体" w:cs="宋体"/>
        </w:rPr>
        <w:t>”，输入账号和密码（</w:t>
      </w:r>
      <w:r>
        <w:rPr>
          <w:rFonts w:hint="eastAsia" w:ascii="宋体" w:hAnsi="宋体" w:cs="宋体"/>
          <w:color w:val="FF0000"/>
        </w:rPr>
        <w:t>账号为学号/工号，初始密码：以学校通知为准）</w:t>
      </w:r>
      <w:r>
        <w:rPr>
          <w:rFonts w:hint="eastAsia" w:ascii="宋体" w:hAnsi="宋体" w:cs="宋体"/>
          <w:color w:val="000000"/>
        </w:rPr>
        <w:t>，点击登录即可。</w:t>
      </w:r>
    </w:p>
    <w:p>
      <w:r>
        <w:drawing>
          <wp:inline distT="0" distB="0" distL="114300" distR="114300">
            <wp:extent cx="5264785" cy="2598420"/>
            <wp:effectExtent l="0" t="0" r="18415" b="17780"/>
            <wp:docPr id="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FF0000"/>
        </w:rPr>
      </w:pPr>
      <w:r>
        <w:rPr>
          <w:rFonts w:hint="eastAsia" w:ascii="宋体" w:hAnsi="宋体" w:cs="宋体"/>
          <w:color w:val="FF0000"/>
        </w:rPr>
        <w:t>注意：</w:t>
      </w:r>
      <w:r>
        <w:rPr>
          <w:rFonts w:hint="eastAsia" w:ascii="宋体" w:hAnsi="宋体" w:cs="宋体"/>
          <w:color w:val="FF0000"/>
          <w:lang w:eastAsia="zh-CN"/>
        </w:rPr>
        <w:t>如果</w:t>
      </w:r>
      <w:r>
        <w:rPr>
          <w:rFonts w:hint="eastAsia" w:ascii="宋体" w:hAnsi="宋体" w:cs="宋体"/>
          <w:color w:val="FF0000"/>
        </w:rPr>
        <w:t>学生</w:t>
      </w:r>
      <w:r>
        <w:rPr>
          <w:rFonts w:hint="eastAsia" w:ascii="宋体" w:hAnsi="宋体" w:cs="宋体"/>
          <w:color w:val="FF0000"/>
          <w:lang w:eastAsia="zh-CN"/>
        </w:rPr>
        <w:t>角色</w:t>
      </w:r>
      <w:r>
        <w:rPr>
          <w:rFonts w:hint="eastAsia" w:ascii="宋体" w:hAnsi="宋体" w:cs="宋体"/>
          <w:color w:val="FF0000"/>
        </w:rPr>
        <w:t>是双学位，还需要选择一次组织</w:t>
      </w:r>
      <w:r>
        <w:rPr>
          <w:rFonts w:hint="eastAsia" w:ascii="宋体" w:hAnsi="宋体" w:cs="宋体"/>
          <w:color w:val="FF0000"/>
          <w:lang w:eastAsia="zh-CN"/>
        </w:rPr>
        <w:t>；如果教师是多角色，还需要选择一次角色；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8595" cy="2616835"/>
            <wp:effectExtent l="0" t="0" r="14605" b="24765"/>
            <wp:docPr id="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/>
        </w:rPr>
      </w:pPr>
      <w:bookmarkStart w:id="4" w:name="_Toc21120"/>
      <w:bookmarkStart w:id="5" w:name="_Toc23876"/>
      <w:bookmarkStart w:id="6" w:name="_Toc13437"/>
      <w:r>
        <w:rPr>
          <w:rFonts w:hint="eastAsia"/>
        </w:rPr>
        <w:t>个人</w:t>
      </w:r>
      <w:bookmarkEnd w:id="4"/>
      <w:r>
        <w:rPr>
          <w:rFonts w:hint="eastAsia"/>
        </w:rPr>
        <w:t>设置</w:t>
      </w:r>
      <w:bookmarkEnd w:id="5"/>
      <w:bookmarkEnd w:id="6"/>
    </w:p>
    <w:p>
      <w:pPr>
        <w:pStyle w:val="3"/>
      </w:pPr>
      <w:bookmarkStart w:id="7" w:name="_Toc3167"/>
      <w:bookmarkStart w:id="8" w:name="_Toc22890"/>
      <w:r>
        <w:rPr>
          <w:rFonts w:hint="eastAsia"/>
        </w:rPr>
        <w:t>1、个人信息</w:t>
      </w:r>
      <w:bookmarkEnd w:id="7"/>
      <w:bookmarkEnd w:id="8"/>
    </w:p>
    <w:p>
      <w:r>
        <w:rPr>
          <w:rFonts w:hint="eastAsia"/>
        </w:rPr>
        <w:t>第一步：点击左侧菜单进入“个人设置——个人信息”，这里可以填写自己的个人信息、电子签名等。</w:t>
      </w:r>
    </w:p>
    <w:p>
      <w:r>
        <w:drawing>
          <wp:inline distT="0" distB="0" distL="114300" distR="114300">
            <wp:extent cx="5269230" cy="2503805"/>
            <wp:effectExtent l="0" t="0" r="13970" b="10795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第二歩：所有内容填写无误后，点击“提交”按钮。</w:t>
      </w:r>
    </w:p>
    <w:p>
      <w:pPr>
        <w:pStyle w:val="3"/>
        <w:rPr>
          <w:rFonts w:hint="eastAsia"/>
        </w:rPr>
      </w:pPr>
      <w:bookmarkStart w:id="9" w:name="_Toc20940"/>
      <w:bookmarkStart w:id="10" w:name="_Toc17107"/>
      <w:r>
        <w:rPr>
          <w:rFonts w:hint="eastAsia"/>
        </w:rPr>
        <w:t>2、安全中心</w:t>
      </w:r>
      <w:bookmarkEnd w:id="9"/>
      <w:bookmarkEnd w:id="10"/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第一步：点击左侧菜单进入“个人设置——安全中心”。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第二步：可根据自己需求在“个人设置-安全中心”中进行绑定安全邮箱、绑定手机号、绑定微信、密码修改等操作。绑定后，可用于找回密码或系统登录。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4785" cy="2598420"/>
            <wp:effectExtent l="0" t="0" r="18415" b="1778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 w:ascii="Calibri" w:hAnsi="Calibri" w:eastAsia="宋体" w:cs="Times New Roman"/>
          <w:lang w:val="en-US" w:eastAsia="zh-CN"/>
        </w:rPr>
      </w:pPr>
      <w:bookmarkStart w:id="11" w:name="_Toc25080"/>
      <w:bookmarkStart w:id="12" w:name="_Toc6721"/>
      <w:bookmarkStart w:id="13" w:name="_Toc21882"/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bookmarkEnd w:id="11"/>
      <w:bookmarkEnd w:id="12"/>
      <w:bookmarkEnd w:id="13"/>
      <w:r>
        <w:rPr>
          <w:rFonts w:hint="eastAsia" w:ascii="Calibri" w:hAnsi="Calibri" w:eastAsia="宋体" w:cs="Times New Roman"/>
          <w:lang w:val="en-US" w:eastAsia="zh-CN"/>
        </w:rPr>
        <w:t xml:space="preserve"> </w:t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pStyle w:val="2"/>
        <w:jc w:val="left"/>
      </w:pPr>
      <w:bookmarkStart w:id="14" w:name="_Toc27277"/>
      <w:r>
        <w:rPr>
          <w:u w:color="auto"/>
        </w:rPr>
        <w:t>1.组织账号管理</w:t>
      </w:r>
      <w:bookmarkEnd w:id="14"/>
    </w:p>
    <w:p>
      <w:pPr>
        <w:pStyle w:val="3"/>
        <w:jc w:val="left"/>
      </w:pPr>
      <w:bookmarkStart w:id="15" w:name="_Toc22318"/>
      <w:r>
        <w:rPr>
          <w:u w:color="auto"/>
        </w:rPr>
        <w:t>1.1组织架构</w:t>
      </w:r>
      <w:bookmarkEnd w:id="15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选择左边菜单栏“组织账号管理”——选择“组织架构”，可下载组织架构导入模板，按照模板填写好表格后，点击上传就可导入组织架构。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71475"/>
            <wp:effectExtent l="0" t="0" r="9525" b="9525"/>
            <wp:docPr id="5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5" descr="Generate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019425"/>
            <wp:effectExtent l="0" t="0" r="9525" b="9525"/>
            <wp:docPr id="6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19300"/>
            <wp:effectExtent l="0" t="0" r="9525" b="0"/>
            <wp:docPr id="1531053014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053014" name="Drawing 7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809750"/>
            <wp:effectExtent l="0" t="0" r="9525" b="0"/>
            <wp:docPr id="1163429409" name="Drawing 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429409" name="Drawing 8" descr="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90725"/>
            <wp:effectExtent l="0" t="0" r="9525" b="9525"/>
            <wp:docPr id="9" name="Drawing 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 descr="Generat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16" w:name="_Toc5361"/>
      <w:r>
        <w:rPr>
          <w:u w:color="auto"/>
        </w:rPr>
        <w:t>1.2账号管理</w:t>
      </w:r>
      <w:bookmarkEnd w:id="16"/>
    </w:p>
    <w:p>
      <w:pPr>
        <w:pStyle w:val="4"/>
        <w:jc w:val="left"/>
      </w:pPr>
      <w:bookmarkStart w:id="17" w:name="_Toc31521"/>
      <w:r>
        <w:rPr>
          <w:u w:color="auto"/>
        </w:rPr>
        <w:t>1.2.1学生管理</w:t>
      </w:r>
      <w:bookmarkEnd w:id="17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选择左边菜单栏“组织账号管理”——点击账号管理——点击页面“批量导入学生账号”按钮即可跳转模板下载及导入详情界面。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点击页面中“导入学生账号”进行模板下载——打开模板填写学生账号信息——填写完成点击上传文件——点击保存即可上传成功。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76275"/>
            <wp:effectExtent l="0" t="0" r="9525" b="9525"/>
            <wp:docPr id="10" name="Drawing 1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 descr="Generat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86025"/>
            <wp:effectExtent l="0" t="0" r="9525" b="9525"/>
            <wp:docPr id="11" name="Drawing 1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90725"/>
            <wp:effectExtent l="0" t="0" r="9525" b="9525"/>
            <wp:docPr id="12" name="Drawing 1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 descr="Generat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257425"/>
            <wp:effectExtent l="0" t="0" r="9525" b="9525"/>
            <wp:docPr id="13" name="Drawing 1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3" descr="Generate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00250"/>
            <wp:effectExtent l="0" t="0" r="9525" b="0"/>
            <wp:docPr id="14" name="Drawing 1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 descr="Generate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jc w:val="left"/>
      </w:pPr>
      <w:bookmarkStart w:id="18" w:name="_Toc10968"/>
      <w:r>
        <w:rPr>
          <w:u w:color="auto"/>
        </w:rPr>
        <w:t>1.2.2教师管理</w:t>
      </w:r>
      <w:bookmarkEnd w:id="18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选择左边菜单栏“组织账号管理”——点击账号管理——点击页面“批量导入教师账号”按钮即可跳转模板下载及导入详情界面。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点击页面中“导入教师账号”进行模板下载——打开模板填写教师账号信息——填写完成点击上传文件——点击保存即可上传成功。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800100"/>
            <wp:effectExtent l="0" t="0" r="9525" b="0"/>
            <wp:docPr id="15" name="Drawing 1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5" descr="Generate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76500"/>
            <wp:effectExtent l="0" t="0" r="9525" b="0"/>
            <wp:docPr id="16" name="Drawing 1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 descr="Generate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52625"/>
            <wp:effectExtent l="0" t="0" r="9525" b="9525"/>
            <wp:docPr id="17" name="Drawing 1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 descr="Generate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257425"/>
            <wp:effectExtent l="0" t="0" r="9525" b="9525"/>
            <wp:docPr id="18" name="Drawing 1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 descr="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52625"/>
            <wp:effectExtent l="0" t="0" r="9525" b="9525"/>
            <wp:docPr id="19" name="Drawing 1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9" descr="Generate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19" w:name="_Toc29392"/>
      <w:r>
        <w:rPr>
          <w:u w:color="auto"/>
        </w:rPr>
        <w:t>2.检测管理</w:t>
      </w:r>
      <w:bookmarkEnd w:id="19"/>
    </w:p>
    <w:p>
      <w:pPr>
        <w:pStyle w:val="3"/>
        <w:jc w:val="left"/>
      </w:pPr>
      <w:bookmarkStart w:id="20" w:name="_Toc23492"/>
      <w:r>
        <w:rPr>
          <w:u w:color="auto"/>
        </w:rPr>
        <w:t>2.1检测次数分配</w:t>
      </w:r>
      <w:bookmarkEnd w:id="20"/>
    </w:p>
    <w:p>
      <w:pPr>
        <w:pStyle w:val="4"/>
        <w:jc w:val="left"/>
      </w:pPr>
      <w:bookmarkStart w:id="21" w:name="_Toc19392"/>
      <w:r>
        <w:rPr>
          <w:u w:color="auto"/>
        </w:rPr>
        <w:t>2.1.1给学生分配检测次数</w:t>
      </w:r>
      <w:bookmarkEnd w:id="2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第1步：用户选择左边菜单栏“检测管理”——“检测次数分配”——进入“给单个学生分配检测次数”页面，点击页面“批量导入”按钮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第2步：下载模板，根据模板内容进行填写，填写完成后，上传模板。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571500"/>
            <wp:effectExtent l="0" t="0" r="9525" b="0"/>
            <wp:docPr id="20" name="Drawing 2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 descr="Generate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05075"/>
            <wp:effectExtent l="0" t="0" r="9525" b="9525"/>
            <wp:docPr id="21" name="Drawing 2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1" descr="Generated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28900"/>
            <wp:effectExtent l="0" t="0" r="9525" b="0"/>
            <wp:docPr id="22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 descr="Generate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752600"/>
            <wp:effectExtent l="0" t="0" r="9525" b="0"/>
            <wp:docPr id="23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3" descr="Generated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2" w:name="_Toc29422"/>
      <w:r>
        <w:rPr>
          <w:u w:color="auto"/>
        </w:rPr>
        <w:t>2.2检测查询</w:t>
      </w:r>
      <w:bookmarkEnd w:id="22"/>
    </w:p>
    <w:p>
      <w:pPr>
        <w:pStyle w:val="4"/>
        <w:jc w:val="left"/>
      </w:pPr>
      <w:bookmarkStart w:id="23" w:name="_Toc28913"/>
      <w:r>
        <w:rPr>
          <w:u w:color="auto"/>
        </w:rPr>
        <w:t>2.2.1检测明细查询</w:t>
      </w:r>
      <w:bookmarkEnd w:id="23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选择左边菜单栏“检测管理”——选择“检测查询”——点击“检测明细查询”即可学生具体检测情况。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95325"/>
            <wp:effectExtent l="0" t="0" r="9525" b="9525"/>
            <wp:docPr id="24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4" descr="Generate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86025"/>
            <wp:effectExtent l="0" t="0" r="9525" b="9525"/>
            <wp:docPr id="25" name="Drawing 2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5" descr="Generate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24" w:name="_Toc20853"/>
      <w:r>
        <w:rPr>
          <w:u w:color="auto"/>
        </w:rPr>
        <w:t>3.选题管理</w:t>
      </w:r>
      <w:bookmarkEnd w:id="24"/>
    </w:p>
    <w:p>
      <w:pPr>
        <w:pStyle w:val="3"/>
        <w:jc w:val="left"/>
        <w:rPr>
          <w:u w:color="auto"/>
        </w:rPr>
      </w:pPr>
      <w:bookmarkStart w:id="25" w:name="_Toc16561"/>
      <w:r>
        <w:rPr>
          <w:u w:color="auto"/>
        </w:rPr>
        <w:t>3.1课题</w:t>
      </w:r>
      <w:bookmarkEnd w:id="25"/>
    </w:p>
    <w:p>
      <w:pPr>
        <w:pStyle w:val="4"/>
        <w:jc w:val="left"/>
        <w:rPr>
          <w:rFonts w:hint="default" w:eastAsia="宋体"/>
          <w:lang w:val="en-US" w:eastAsia="zh-CN"/>
        </w:rPr>
      </w:pPr>
      <w:bookmarkStart w:id="26" w:name="_Toc8020"/>
      <w:r>
        <w:rPr>
          <w:u w:color="auto"/>
        </w:rPr>
        <w:t>3.1.1</w:t>
      </w:r>
      <w:r>
        <w:rPr>
          <w:rFonts w:hint="eastAsia"/>
          <w:u w:color="auto"/>
          <w:lang w:val="en-US" w:eastAsia="zh-CN"/>
        </w:rPr>
        <w:t>导入</w:t>
      </w:r>
      <w:r>
        <w:rPr>
          <w:u w:color="auto"/>
        </w:rPr>
        <w:t>课题</w:t>
      </w:r>
      <w:r>
        <w:rPr>
          <w:rFonts w:hint="eastAsia"/>
          <w:u w:color="auto"/>
          <w:lang w:val="en-US" w:eastAsia="zh-CN"/>
        </w:rPr>
        <w:t>和选题</w:t>
      </w:r>
      <w:bookmarkEnd w:id="2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第1步：用户选择左边菜单栏“选题管理”——选择“课题”，进入“申报课题”详情页面，点击“批量导入课题和选题”按钮；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第2步：在弹窗中点击下载文件，下载文件后，根据模板填写具体内容，填写完成后，点击上传文件，然后点击“确定”按钮。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1540743659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743659" name="Drawing 1" descr="Generate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05175"/>
            <wp:effectExtent l="0" t="0" r="9525" b="9525"/>
            <wp:docPr id="1544999841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999841" name="Drawing 2" descr="Generate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52775"/>
            <wp:effectExtent l="0" t="0" r="9525" b="9525"/>
            <wp:docPr id="1487014080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014080" name="Drawing 3" descr="Generate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152650"/>
            <wp:effectExtent l="0" t="0" r="9525" b="0"/>
            <wp:docPr id="4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 descr="Generated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4"/>
        <w:jc w:val="left"/>
      </w:pPr>
      <w:bookmarkStart w:id="27" w:name="_Toc8786"/>
      <w:r>
        <w:rPr>
          <w:u w:color="auto"/>
        </w:rPr>
        <w:t>3.1.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审核课题</w:t>
      </w:r>
      <w:bookmarkEnd w:id="27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用户点击左侧菜单进入“选题管理”—“课题”—“审核课题”页面。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点击页面“审核”按钮即可跳转审核详情界面——选择通过或不通过，填写审核意见——点击“确认”。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762000"/>
            <wp:effectExtent l="0" t="0" r="9525" b="0"/>
            <wp:docPr id="26" name="Drawing 2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6" descr="Generat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705100"/>
            <wp:effectExtent l="0" t="0" r="9525" b="0"/>
            <wp:docPr id="27" name="Drawing 2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rawing 27" descr="Generate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76600"/>
            <wp:effectExtent l="0" t="0" r="9525" b="0"/>
            <wp:docPr id="28" name="Drawing 2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8" descr="Generated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8" w:name="_Toc4306"/>
      <w:r>
        <w:rPr>
          <w:u w:color="auto"/>
        </w:rPr>
        <w:t>3.2题目修改与审核</w:t>
      </w:r>
      <w:bookmarkEnd w:id="28"/>
    </w:p>
    <w:p>
      <w:pPr>
        <w:pStyle w:val="4"/>
        <w:jc w:val="left"/>
      </w:pPr>
      <w:bookmarkStart w:id="29" w:name="_Toc8788"/>
      <w:r>
        <w:rPr>
          <w:u w:color="auto"/>
        </w:rPr>
        <w:t>3.2.1审核题目修改</w:t>
      </w:r>
      <w:bookmarkEnd w:id="29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选择左边菜单栏“选题管理”，点击“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题目修改与审核</w:t>
      </w:r>
      <w:r>
        <w:rPr>
          <w:rFonts w:ascii="宋体" w:hAnsi="宋体" w:eastAsia="宋体" w:cs="宋体"/>
          <w:sz w:val="21"/>
          <w:u w:color="auto"/>
        </w:rPr>
        <w:t>”，审核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题目修改</w:t>
      </w:r>
      <w:r>
        <w:rPr>
          <w:rFonts w:ascii="宋体" w:hAnsi="宋体" w:eastAsia="宋体" w:cs="宋体"/>
          <w:sz w:val="21"/>
          <w:u w:color="auto"/>
        </w:rPr>
        <w:t>.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点击页面“审核”按钮即可跳转审核详情界面，选择通过或不通过，填写审核意见后点击“确定”。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29" name="Drawing 2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 29" descr="Generate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90800"/>
            <wp:effectExtent l="0" t="0" r="9525" b="0"/>
            <wp:docPr id="30" name="Drawing 3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30" descr="Generated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400425"/>
            <wp:effectExtent l="0" t="0" r="9525" b="9525"/>
            <wp:docPr id="31" name="Drawing 3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rawing 31" descr="Generated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30" w:name="_Toc19579"/>
      <w:r>
        <w:rPr>
          <w:u w:color="auto"/>
        </w:rPr>
        <w:t>4.过程管理</w:t>
      </w:r>
      <w:bookmarkEnd w:id="30"/>
    </w:p>
    <w:p>
      <w:pPr>
        <w:pStyle w:val="3"/>
        <w:jc w:val="left"/>
      </w:pPr>
      <w:bookmarkStart w:id="31" w:name="_Toc4341"/>
      <w:r>
        <w:rPr>
          <w:u w:color="auto"/>
        </w:rPr>
        <w:t>4.1开题报告</w:t>
      </w:r>
      <w:bookmarkEnd w:id="31"/>
    </w:p>
    <w:p>
      <w:pPr>
        <w:pStyle w:val="4"/>
        <w:jc w:val="left"/>
      </w:pPr>
      <w:bookmarkStart w:id="32" w:name="_Toc7657"/>
      <w:r>
        <w:rPr>
          <w:u w:color="auto"/>
        </w:rPr>
        <w:t>4.1.1审核开题报告</w:t>
      </w:r>
      <w:bookmarkEnd w:id="32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点击左侧菜单进入“过程管理”—“开题报告”—“审核开题报告”页面。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点击“审核”按钮，进入审核详情页面，可查看填写的开题报告信息，并进行审核意见以及审核通过与不通过的选择后，点击“确定”审核完成。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09600"/>
            <wp:effectExtent l="0" t="0" r="9525" b="0"/>
            <wp:docPr id="32" name="Drawing 3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2" descr="Generated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90800"/>
            <wp:effectExtent l="0" t="0" r="9525" b="0"/>
            <wp:docPr id="33" name="Drawing 3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rawing 33" descr="Generate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105150"/>
            <wp:effectExtent l="0" t="0" r="9525" b="0"/>
            <wp:docPr id="34" name="Drawing 3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Drawing 34" descr="Generated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  <w:rPr>
          <w:rFonts w:hint="eastAsia" w:eastAsia="宋体"/>
          <w:lang w:val="en-US" w:eastAsia="zh-CN"/>
        </w:rPr>
      </w:pPr>
      <w:bookmarkStart w:id="33" w:name="_Toc15955"/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开题</w:t>
      </w:r>
      <w:r>
        <w:rPr>
          <w:rFonts w:hint="eastAsia"/>
          <w:u w:color="auto"/>
          <w:lang w:val="en-US" w:eastAsia="zh-CN"/>
        </w:rPr>
        <w:t>答辩</w:t>
      </w:r>
      <w:bookmarkEnd w:id="33"/>
    </w:p>
    <w:p>
      <w:pPr>
        <w:pStyle w:val="4"/>
        <w:jc w:val="left"/>
        <w:rPr>
          <w:rFonts w:hint="default" w:eastAsia="宋体"/>
          <w:lang w:val="en-US" w:eastAsia="zh-CN"/>
        </w:rPr>
      </w:pPr>
      <w:bookmarkStart w:id="34" w:name="_Toc17391"/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.1</w:t>
      </w:r>
      <w:r>
        <w:rPr>
          <w:rFonts w:hint="eastAsia"/>
          <w:u w:color="auto"/>
          <w:lang w:val="en-US" w:eastAsia="zh-CN"/>
        </w:rPr>
        <w:t>导入开题答辩记录</w:t>
      </w:r>
      <w:bookmarkEnd w:id="34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点击左侧菜单进入“过程管理”—“开题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答辩</w:t>
      </w:r>
      <w:r>
        <w:rPr>
          <w:rFonts w:ascii="宋体" w:hAnsi="宋体" w:eastAsia="宋体" w:cs="宋体"/>
          <w:sz w:val="21"/>
          <w:u w:color="auto"/>
        </w:rPr>
        <w:t>”—“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查询开题答辩</w:t>
      </w:r>
      <w:r>
        <w:rPr>
          <w:rFonts w:ascii="宋体" w:hAnsi="宋体" w:eastAsia="宋体" w:cs="宋体"/>
          <w:sz w:val="21"/>
          <w:u w:color="auto"/>
        </w:rPr>
        <w:t>”页面。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点</w:t>
      </w:r>
      <w:r>
        <w:rPr>
          <w:rFonts w:ascii="宋体" w:hAnsi="宋体" w:eastAsia="宋体" w:cs="宋体"/>
          <w:sz w:val="21"/>
          <w:u w:color="auto"/>
        </w:rPr>
        <w:t>击按钮“批量导入”。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下载模板，根据模板内容进行填写，填写完成后，上传模板。</w:t>
      </w:r>
    </w:p>
    <w:p>
      <w:pPr>
        <w:jc w:val="center"/>
      </w:pPr>
      <w:r>
        <w:drawing>
          <wp:inline distT="0" distB="0" distL="114300" distR="114300">
            <wp:extent cx="5266690" cy="2520950"/>
            <wp:effectExtent l="0" t="0" r="10160" b="1270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9865" cy="2001520"/>
            <wp:effectExtent l="0" t="0" r="6985" b="17780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70500" cy="2333625"/>
            <wp:effectExtent l="0" t="0" r="6350" b="9525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7325" cy="2020570"/>
            <wp:effectExtent l="0" t="0" r="9525" b="17780"/>
            <wp:docPr id="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2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35" w:name="_Toc2175"/>
      <w:r>
        <w:rPr>
          <w:u w:color="auto"/>
        </w:rPr>
        <w:t>5.评分管理</w:t>
      </w:r>
      <w:bookmarkEnd w:id="35"/>
    </w:p>
    <w:p>
      <w:pPr>
        <w:pStyle w:val="3"/>
        <w:jc w:val="left"/>
      </w:pPr>
      <w:bookmarkStart w:id="36" w:name="_Toc23766"/>
      <w:r>
        <w:rPr>
          <w:u w:color="auto"/>
        </w:rPr>
        <w:t>5.1分配评阅教师</w:t>
      </w:r>
      <w:bookmarkEnd w:id="3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管理”——“分配评阅教师”——点击页面“分配评阅教师”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点击右侧“分配学生”按钮进入学生分配详情页面——点击学生信息右侧“分配”按钮即可将该学生分配。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476250"/>
            <wp:effectExtent l="0" t="0" r="9525" b="0"/>
            <wp:docPr id="35" name="Drawing 3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5" descr="Generated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2847975"/>
            <wp:effectExtent l="0" t="0" r="9525" b="9525"/>
            <wp:docPr id="36" name="Drawing 3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rawing 36" descr="Generated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37" w:name="_Toc21291"/>
      <w:r>
        <w:rPr>
          <w:rFonts w:hint="eastAsia"/>
          <w:lang w:val="en-US" w:eastAsia="zh-CN"/>
        </w:rPr>
        <w:t>5.2批量导入分配评阅教师</w:t>
      </w:r>
      <w:bookmarkEnd w:id="37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管理”——“分配评阅教师”——点击按钮“批量导入”。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下载模板，根据模板内容进行填写，填写完成后，上传模板。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76250"/>
            <wp:effectExtent l="0" t="0" r="9525" b="0"/>
            <wp:docPr id="45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rawing 6" descr="Generated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847975"/>
            <wp:effectExtent l="0" t="0" r="9525" b="9525"/>
            <wp:docPr id="46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3" descr="Generated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66925"/>
            <wp:effectExtent l="0" t="0" r="9525" b="9525"/>
            <wp:docPr id="47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rawing 4" descr="Generated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62225"/>
            <wp:effectExtent l="0" t="0" r="9525" b="9525"/>
            <wp:docPr id="48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5" descr="Generated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38" w:name="_Toc32640"/>
      <w:bookmarkStart w:id="39" w:name="_Toc18897"/>
      <w:r>
        <w:rPr>
          <w:rFonts w:hint="eastAsia"/>
          <w:lang w:val="en-US" w:eastAsia="zh-CN"/>
        </w:rPr>
        <w:t>5.3分配答辩组</w:t>
      </w:r>
      <w:bookmarkEnd w:id="38"/>
      <w:bookmarkEnd w:id="39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第1步：选择左边菜单栏“评分管理”-“分配答辩组”——选择“答辩小组评分”——点击页面“新增”按钮即可跳转建立答辩组的详情界面——填写答辩组信息——点击保存；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第2步：点击答辩组信息右侧“分配学生”按钮进入学生分配详情页面——点击学生信息右侧“分配”按钮即可将该学生分配到该答辩组。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85775"/>
            <wp:effectExtent l="0" t="0" r="9525" b="9525"/>
            <wp:docPr id="49" name="Drawing 2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rawing 28" descr="Generated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24225"/>
            <wp:effectExtent l="0" t="0" r="9525" b="9525"/>
            <wp:docPr id="50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rawing 24" descr="Generated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05175"/>
            <wp:effectExtent l="0" t="0" r="9525" b="9525"/>
            <wp:docPr id="51" name="Drawing 2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25" descr="Generated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19350"/>
            <wp:effectExtent l="0" t="0" r="9525" b="0"/>
            <wp:docPr id="52" name="Drawing 2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rawing 26" descr="Generated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429000"/>
            <wp:effectExtent l="0" t="0" r="9525" b="0"/>
            <wp:docPr id="53" name="Drawing 2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rawing 27" descr="Generated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40" w:name="_Toc28998"/>
      <w:bookmarkStart w:id="41" w:name="_Toc32225"/>
      <w:r>
        <w:rPr>
          <w:rFonts w:hint="eastAsia"/>
          <w:lang w:val="en-US" w:eastAsia="zh-CN"/>
        </w:rPr>
        <w:t>5.4批量导入分配答辩组</w:t>
      </w:r>
      <w:bookmarkEnd w:id="40"/>
      <w:bookmarkEnd w:id="41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管理”——“分配答辩组”——点击页面“批量导入”按钮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第2步：下载模板，根据模板内容进行填写，填写完成后，上传模板。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85775"/>
            <wp:effectExtent l="0" t="0" r="9525" b="9525"/>
            <wp:docPr id="54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rawing 23" descr="Generated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33725"/>
            <wp:effectExtent l="0" t="0" r="9525" b="9525"/>
            <wp:docPr id="55" name="Drawing 2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20" descr="Generated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057525"/>
            <wp:effectExtent l="0" t="0" r="9525" b="9525"/>
            <wp:docPr id="56" name="Drawing 2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21" descr="Generated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1924050"/>
            <wp:effectExtent l="0" t="0" r="9525" b="0"/>
            <wp:docPr id="57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Drawing 22" descr="Generated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  <w:rPr>
          <w:rFonts w:hint="default"/>
          <w:lang w:val="en-US"/>
        </w:rPr>
      </w:pPr>
      <w:bookmarkStart w:id="42" w:name="_Toc27353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5导入答辩评分</w:t>
      </w:r>
      <w:bookmarkEnd w:id="42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答辩组评分</w:t>
      </w:r>
      <w:r>
        <w:rPr>
          <w:rFonts w:ascii="宋体" w:hAnsi="宋体" w:eastAsia="宋体" w:cs="宋体"/>
          <w:sz w:val="21"/>
          <w:u w:color="auto"/>
        </w:rPr>
        <w:t>”——点击页面“导入”按钮</w:t>
      </w:r>
    </w:p>
    <w:p>
      <w:pPr>
        <w:keepLines/>
        <w:ind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第2步：下载模板，根据模板内容进行填写，填写完成后，上传模板。</w:t>
      </w:r>
    </w:p>
    <w:p>
      <w:pPr>
        <w:jc w:val="center"/>
      </w:pPr>
      <w:r>
        <w:drawing>
          <wp:inline distT="0" distB="0" distL="114300" distR="114300">
            <wp:extent cx="5266690" cy="2520950"/>
            <wp:effectExtent l="0" t="0" r="10160" b="12700"/>
            <wp:docPr id="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8595" cy="1981200"/>
            <wp:effectExtent l="0" t="0" r="8255" b="0"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70500" cy="2333625"/>
            <wp:effectExtent l="0" t="0" r="6350" b="9525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0" w:name="_GoBack"/>
      <w:bookmarkEnd w:id="70"/>
    </w:p>
    <w:p>
      <w:pPr>
        <w:pStyle w:val="3"/>
        <w:jc w:val="left"/>
      </w:pPr>
      <w:bookmarkStart w:id="43" w:name="_Toc21736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总评</w:t>
      </w:r>
      <w:bookmarkEnd w:id="43"/>
    </w:p>
    <w:p>
      <w:pPr>
        <w:pStyle w:val="4"/>
        <w:jc w:val="left"/>
      </w:pPr>
      <w:bookmarkStart w:id="44" w:name="_Toc24199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6</w:t>
      </w:r>
      <w:r>
        <w:rPr>
          <w:u w:color="auto"/>
        </w:rPr>
        <w:t>.1查看总评成绩</w:t>
      </w:r>
      <w:bookmarkEnd w:id="44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第1步：选择左边菜单栏“评分管理”-“总评”——点击页面“更新总评成绩”按钮可以更新学生总评成绩；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第2步：确认总评无误后可点击“公布总评成绩”，公布后学生端可在首页查看成绩。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42" name="Drawing 4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2" descr="Generated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924175"/>
            <wp:effectExtent l="0" t="0" r="9525" b="9525"/>
            <wp:docPr id="43" name="Drawing 4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rawing 43" descr="Generated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790825"/>
            <wp:effectExtent l="0" t="0" r="9525" b="9525"/>
            <wp:docPr id="44" name="Drawing 4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rawing 44" descr="Generated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40"/>
        <w:rPr>
          <w:rFonts w:hint="eastAsia" w:ascii="Calibri" w:hAnsi="Calibri" w:eastAsia="宋体" w:cs="Times New Roman"/>
          <w:lang w:val="en-US" w:eastAsia="zh-CN"/>
        </w:rPr>
      </w:pPr>
      <w:bookmarkStart w:id="45" w:name="_Toc12738"/>
      <w:bookmarkStart w:id="46" w:name="_Toc8366"/>
      <w:bookmarkStart w:id="47" w:name="_Toc6711"/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bookmarkEnd w:id="45"/>
      <w:bookmarkEnd w:id="46"/>
      <w:bookmarkEnd w:id="47"/>
    </w:p>
    <w:p>
      <w:pPr>
        <w:ind w:firstLine="420" w:firstLineChars="2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点击“下载中心”—“文件下载”，选中数据，点击”</w:t>
      </w:r>
      <w:r>
        <w:rPr>
          <w:rFonts w:hint="eastAsia" w:ascii="宋体" w:hAnsi="宋体" w:cs="宋体"/>
          <w:lang w:eastAsia="zh-CN"/>
        </w:rPr>
        <w:t>归档材料下载</w:t>
      </w:r>
      <w:r>
        <w:rPr>
          <w:rFonts w:hint="eastAsia" w:ascii="宋体" w:hAnsi="宋体" w:cs="宋体"/>
        </w:rPr>
        <w:t>“批量下载各个流程上传的文件。</w:t>
      </w:r>
    </w:p>
    <w:p>
      <w:r>
        <w:drawing>
          <wp:inline distT="0" distB="0" distL="114300" distR="114300">
            <wp:extent cx="5259070" cy="1564005"/>
            <wp:effectExtent l="0" t="0" r="24130" b="10795"/>
            <wp:docPr id="161074845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748453" name="图片 3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spacing w:before="240"/>
      </w:pPr>
      <w:bookmarkStart w:id="48" w:name="_Toc23080"/>
      <w:bookmarkStart w:id="49" w:name="_Toc32586"/>
      <w:bookmarkStart w:id="50" w:name="_Toc3500"/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bookmarkEnd w:id="48"/>
      <w:bookmarkEnd w:id="49"/>
      <w:bookmarkEnd w:id="50"/>
    </w:p>
    <w:p>
      <w:pPr>
        <w:pStyle w:val="3"/>
      </w:pPr>
      <w:bookmarkStart w:id="51" w:name="_Toc21506725"/>
      <w:bookmarkStart w:id="52" w:name="_Toc21967825"/>
      <w:bookmarkStart w:id="53" w:name="_Toc5161"/>
      <w:bookmarkStart w:id="54" w:name="_Toc13523"/>
      <w:bookmarkStart w:id="55" w:name="_Toc21507034"/>
      <w:bookmarkStart w:id="56" w:name="_Toc11588"/>
      <w:bookmarkStart w:id="57" w:name="_Toc21113907"/>
      <w:bookmarkStart w:id="58" w:name="_Toc19779"/>
      <w:bookmarkStart w:id="59" w:name="_Toc15000"/>
      <w:bookmarkStart w:id="60" w:name="_Toc4888"/>
      <w:bookmarkStart w:id="61" w:name="_Toc1740308402_WPSOffice_Level3"/>
      <w:bookmarkStart w:id="62" w:name="_Toc14609"/>
      <w:bookmarkStart w:id="63" w:name="_Toc28463"/>
      <w:r>
        <w:rPr>
          <w:rFonts w:hint="eastAsia"/>
        </w:rPr>
        <w:t>1</w:t>
      </w:r>
      <w:bookmarkEnd w:id="51"/>
      <w:bookmarkEnd w:id="52"/>
      <w:bookmarkEnd w:id="53"/>
      <w:bookmarkEnd w:id="54"/>
      <w:bookmarkEnd w:id="55"/>
      <w:bookmarkEnd w:id="56"/>
      <w:bookmarkEnd w:id="57"/>
      <w:r>
        <w:rPr>
          <w:rFonts w:hint="eastAsia"/>
        </w:rPr>
        <w:t>、站内信</w:t>
      </w:r>
      <w:bookmarkEnd w:id="58"/>
      <w:bookmarkEnd w:id="59"/>
      <w:bookmarkEnd w:id="60"/>
      <w:bookmarkEnd w:id="61"/>
      <w:bookmarkEnd w:id="62"/>
      <w:bookmarkEnd w:id="63"/>
    </w:p>
    <w:p>
      <w:pPr>
        <w:spacing w:before="156" w:after="156"/>
        <w:ind w:firstLine="480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点击左侧菜单进入“消息管理”—“站内信”。可以进行站内信的查阅与发送。</w:t>
      </w:r>
      <w:r>
        <w:rPr>
          <w:rFonts w:ascii="宋体" w:hAnsi="宋体" w:cs="宋体"/>
        </w:rPr>
        <w:drawing>
          <wp:inline distT="0" distB="0" distL="114300" distR="114300">
            <wp:extent cx="5253990" cy="1426845"/>
            <wp:effectExtent l="0" t="0" r="3810" b="20955"/>
            <wp:docPr id="59163908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639084" name="图片 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4" w:name="_Toc10920"/>
      <w:bookmarkStart w:id="65" w:name="_Toc12655"/>
      <w:bookmarkStart w:id="66" w:name="_Toc14049"/>
      <w:bookmarkStart w:id="67" w:name="_Toc636040274_WPSOffice_Level3"/>
      <w:bookmarkStart w:id="68" w:name="_Toc23918"/>
      <w:bookmarkStart w:id="69" w:name="_Toc18610"/>
      <w:r>
        <w:rPr>
          <w:rFonts w:hint="eastAsia"/>
        </w:rPr>
        <w:t>2、公告管理</w:t>
      </w:r>
      <w:bookmarkEnd w:id="64"/>
      <w:bookmarkEnd w:id="65"/>
      <w:bookmarkEnd w:id="66"/>
      <w:bookmarkEnd w:id="67"/>
      <w:bookmarkEnd w:id="68"/>
      <w:bookmarkEnd w:id="69"/>
    </w:p>
    <w:p>
      <w:pPr>
        <w:spacing w:before="120" w:after="120"/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点击左侧菜单进入“消息管理”—“公告管理”。可以查看学校学院发布公告内容。</w:t>
      </w:r>
    </w:p>
    <w:p>
      <w:pPr>
        <w:spacing w:before="120" w:after="120"/>
        <w:rPr>
          <w:rFonts w:ascii="宋体" w:hAnsi="宋体" w:cs="宋体"/>
        </w:rPr>
      </w:pPr>
      <w:r>
        <w:rPr>
          <w:rFonts w:ascii="宋体" w:hAnsi="宋体" w:cs="宋体"/>
        </w:rPr>
        <w:drawing>
          <wp:inline distT="0" distB="0" distL="114300" distR="114300">
            <wp:extent cx="5262245" cy="2000885"/>
            <wp:effectExtent l="0" t="0" r="20955" b="5715"/>
            <wp:docPr id="144913716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137162" name="图片 2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UyYjdiZDQ5MjhmYWEwNmI0MWJmOGRlMWQwMjc0MGUifQ=="/>
  </w:docVars>
  <w:rsids>
    <w:rsidRoot w:val="5FE02B0A"/>
    <w:rsid w:val="00023261"/>
    <w:rsid w:val="000304D9"/>
    <w:rsid w:val="00041EC8"/>
    <w:rsid w:val="0004525E"/>
    <w:rsid w:val="00080EEA"/>
    <w:rsid w:val="000A2742"/>
    <w:rsid w:val="000D3AC7"/>
    <w:rsid w:val="00110281"/>
    <w:rsid w:val="0012640F"/>
    <w:rsid w:val="00134937"/>
    <w:rsid w:val="00164D25"/>
    <w:rsid w:val="00187198"/>
    <w:rsid w:val="001B13DD"/>
    <w:rsid w:val="001B2917"/>
    <w:rsid w:val="00215B72"/>
    <w:rsid w:val="00216D1F"/>
    <w:rsid w:val="00290F07"/>
    <w:rsid w:val="002C6CC8"/>
    <w:rsid w:val="002D20B5"/>
    <w:rsid w:val="002D3640"/>
    <w:rsid w:val="002E6342"/>
    <w:rsid w:val="002F0FB6"/>
    <w:rsid w:val="00321CED"/>
    <w:rsid w:val="00376A1B"/>
    <w:rsid w:val="00383167"/>
    <w:rsid w:val="00390E82"/>
    <w:rsid w:val="003C62A3"/>
    <w:rsid w:val="003D22B5"/>
    <w:rsid w:val="003D4710"/>
    <w:rsid w:val="003D705D"/>
    <w:rsid w:val="003F0796"/>
    <w:rsid w:val="003F75CF"/>
    <w:rsid w:val="0041323F"/>
    <w:rsid w:val="00441424"/>
    <w:rsid w:val="00441C9E"/>
    <w:rsid w:val="00454505"/>
    <w:rsid w:val="00486E97"/>
    <w:rsid w:val="00491A15"/>
    <w:rsid w:val="004952BE"/>
    <w:rsid w:val="004A24DF"/>
    <w:rsid w:val="004A42BE"/>
    <w:rsid w:val="004C5D4B"/>
    <w:rsid w:val="004D3A02"/>
    <w:rsid w:val="004D76B3"/>
    <w:rsid w:val="004E2611"/>
    <w:rsid w:val="004E639E"/>
    <w:rsid w:val="0050291F"/>
    <w:rsid w:val="00511ACF"/>
    <w:rsid w:val="005305D3"/>
    <w:rsid w:val="005501DF"/>
    <w:rsid w:val="00590BBF"/>
    <w:rsid w:val="005B35C4"/>
    <w:rsid w:val="005D3A65"/>
    <w:rsid w:val="005D7489"/>
    <w:rsid w:val="0066524E"/>
    <w:rsid w:val="00682F60"/>
    <w:rsid w:val="006842BB"/>
    <w:rsid w:val="0068767B"/>
    <w:rsid w:val="006F7953"/>
    <w:rsid w:val="00706E2C"/>
    <w:rsid w:val="00716B0A"/>
    <w:rsid w:val="007569B5"/>
    <w:rsid w:val="00762975"/>
    <w:rsid w:val="007751E2"/>
    <w:rsid w:val="00783B6A"/>
    <w:rsid w:val="00795459"/>
    <w:rsid w:val="007A3406"/>
    <w:rsid w:val="007A6906"/>
    <w:rsid w:val="008176BE"/>
    <w:rsid w:val="00832765"/>
    <w:rsid w:val="008352FC"/>
    <w:rsid w:val="0083608A"/>
    <w:rsid w:val="00857F26"/>
    <w:rsid w:val="008747B4"/>
    <w:rsid w:val="00896AD7"/>
    <w:rsid w:val="008B4D48"/>
    <w:rsid w:val="008C3852"/>
    <w:rsid w:val="008E0D78"/>
    <w:rsid w:val="008E7CD3"/>
    <w:rsid w:val="00906D40"/>
    <w:rsid w:val="00926973"/>
    <w:rsid w:val="00935E69"/>
    <w:rsid w:val="00962DD5"/>
    <w:rsid w:val="009666BC"/>
    <w:rsid w:val="00974BBE"/>
    <w:rsid w:val="009D4674"/>
    <w:rsid w:val="009D67F0"/>
    <w:rsid w:val="00A00EAF"/>
    <w:rsid w:val="00A77943"/>
    <w:rsid w:val="00A830CE"/>
    <w:rsid w:val="00A87F74"/>
    <w:rsid w:val="00AA4694"/>
    <w:rsid w:val="00AB3833"/>
    <w:rsid w:val="00AF1DED"/>
    <w:rsid w:val="00B55CCB"/>
    <w:rsid w:val="00B85A72"/>
    <w:rsid w:val="00C52741"/>
    <w:rsid w:val="00CA1238"/>
    <w:rsid w:val="00CB31A7"/>
    <w:rsid w:val="00CD7635"/>
    <w:rsid w:val="00CF2C04"/>
    <w:rsid w:val="00D52373"/>
    <w:rsid w:val="00D6218C"/>
    <w:rsid w:val="00D76EEB"/>
    <w:rsid w:val="00D804E6"/>
    <w:rsid w:val="00D9685B"/>
    <w:rsid w:val="00DC5E6F"/>
    <w:rsid w:val="00DC7FD4"/>
    <w:rsid w:val="00DD481A"/>
    <w:rsid w:val="00E00EA0"/>
    <w:rsid w:val="00E711C9"/>
    <w:rsid w:val="00E86084"/>
    <w:rsid w:val="00EC5FD3"/>
    <w:rsid w:val="00EE7696"/>
    <w:rsid w:val="00F1464A"/>
    <w:rsid w:val="00F62B24"/>
    <w:rsid w:val="00FA1A34"/>
    <w:rsid w:val="00FC2DEB"/>
    <w:rsid w:val="00FF22CE"/>
    <w:rsid w:val="017E0CD4"/>
    <w:rsid w:val="01910A08"/>
    <w:rsid w:val="01973B44"/>
    <w:rsid w:val="01A3073B"/>
    <w:rsid w:val="01AE15BA"/>
    <w:rsid w:val="01AF179F"/>
    <w:rsid w:val="01D32DCE"/>
    <w:rsid w:val="01FD609D"/>
    <w:rsid w:val="02182ED7"/>
    <w:rsid w:val="023C4E17"/>
    <w:rsid w:val="023F2212"/>
    <w:rsid w:val="024141DC"/>
    <w:rsid w:val="02427F54"/>
    <w:rsid w:val="02612B5C"/>
    <w:rsid w:val="02B20C36"/>
    <w:rsid w:val="02E42DB9"/>
    <w:rsid w:val="033E696D"/>
    <w:rsid w:val="034D095E"/>
    <w:rsid w:val="0361440A"/>
    <w:rsid w:val="03B60BF9"/>
    <w:rsid w:val="03C274DB"/>
    <w:rsid w:val="03F82FC0"/>
    <w:rsid w:val="042F62B6"/>
    <w:rsid w:val="044B7594"/>
    <w:rsid w:val="044C6E68"/>
    <w:rsid w:val="047C599F"/>
    <w:rsid w:val="047F0FEB"/>
    <w:rsid w:val="052A53FB"/>
    <w:rsid w:val="05452235"/>
    <w:rsid w:val="05544226"/>
    <w:rsid w:val="06087AF2"/>
    <w:rsid w:val="061B11E8"/>
    <w:rsid w:val="062E0F1B"/>
    <w:rsid w:val="06654211"/>
    <w:rsid w:val="067B1C86"/>
    <w:rsid w:val="06B6300F"/>
    <w:rsid w:val="06BA4485"/>
    <w:rsid w:val="06DE46EF"/>
    <w:rsid w:val="06FC2DC7"/>
    <w:rsid w:val="074A1D85"/>
    <w:rsid w:val="078132CC"/>
    <w:rsid w:val="07866B35"/>
    <w:rsid w:val="07B7538F"/>
    <w:rsid w:val="07D21D7A"/>
    <w:rsid w:val="07FB6BDB"/>
    <w:rsid w:val="08060514"/>
    <w:rsid w:val="08381BDD"/>
    <w:rsid w:val="08624EAC"/>
    <w:rsid w:val="087B5F6E"/>
    <w:rsid w:val="088A7F5F"/>
    <w:rsid w:val="08F875BE"/>
    <w:rsid w:val="091A7535"/>
    <w:rsid w:val="094445B2"/>
    <w:rsid w:val="0969226A"/>
    <w:rsid w:val="09B434E5"/>
    <w:rsid w:val="09B72FD5"/>
    <w:rsid w:val="09DC2A3C"/>
    <w:rsid w:val="09F528BA"/>
    <w:rsid w:val="0A310FDA"/>
    <w:rsid w:val="0A9652E1"/>
    <w:rsid w:val="0AC0235E"/>
    <w:rsid w:val="0B7C44D7"/>
    <w:rsid w:val="0BF16C73"/>
    <w:rsid w:val="0C2B68DC"/>
    <w:rsid w:val="0C825B1D"/>
    <w:rsid w:val="0CDB347F"/>
    <w:rsid w:val="0CE045F1"/>
    <w:rsid w:val="0D240982"/>
    <w:rsid w:val="0D9F26FE"/>
    <w:rsid w:val="0DB241E0"/>
    <w:rsid w:val="0DE14AC5"/>
    <w:rsid w:val="0DFE5677"/>
    <w:rsid w:val="0E0B1B42"/>
    <w:rsid w:val="0EC817E1"/>
    <w:rsid w:val="0EE20AF5"/>
    <w:rsid w:val="0F052A35"/>
    <w:rsid w:val="0F307AB2"/>
    <w:rsid w:val="0F3D21CF"/>
    <w:rsid w:val="0F5D461F"/>
    <w:rsid w:val="0FE16FFE"/>
    <w:rsid w:val="1002449F"/>
    <w:rsid w:val="108C5BB3"/>
    <w:rsid w:val="10B93AD7"/>
    <w:rsid w:val="10BD35C7"/>
    <w:rsid w:val="10F13271"/>
    <w:rsid w:val="11000BEA"/>
    <w:rsid w:val="11186A50"/>
    <w:rsid w:val="11203B56"/>
    <w:rsid w:val="11252F1A"/>
    <w:rsid w:val="112E0021"/>
    <w:rsid w:val="11951E4E"/>
    <w:rsid w:val="11BD75F7"/>
    <w:rsid w:val="11E44B84"/>
    <w:rsid w:val="12323B41"/>
    <w:rsid w:val="12661A3D"/>
    <w:rsid w:val="12802AFE"/>
    <w:rsid w:val="13225964"/>
    <w:rsid w:val="13B30CB1"/>
    <w:rsid w:val="13B62550"/>
    <w:rsid w:val="13C7650B"/>
    <w:rsid w:val="13E26EA1"/>
    <w:rsid w:val="14643D5A"/>
    <w:rsid w:val="14C173FE"/>
    <w:rsid w:val="14C50C9C"/>
    <w:rsid w:val="14C64A14"/>
    <w:rsid w:val="151D2886"/>
    <w:rsid w:val="15B12FCF"/>
    <w:rsid w:val="15C56A7A"/>
    <w:rsid w:val="15FA0CD7"/>
    <w:rsid w:val="169C3C7F"/>
    <w:rsid w:val="169F551D"/>
    <w:rsid w:val="16A11295"/>
    <w:rsid w:val="16F5338F"/>
    <w:rsid w:val="17544559"/>
    <w:rsid w:val="177C13BA"/>
    <w:rsid w:val="17F81389"/>
    <w:rsid w:val="17FF6273"/>
    <w:rsid w:val="18407477"/>
    <w:rsid w:val="18583BD5"/>
    <w:rsid w:val="186D58D3"/>
    <w:rsid w:val="187854AD"/>
    <w:rsid w:val="18834126"/>
    <w:rsid w:val="189F1804"/>
    <w:rsid w:val="18A24E51"/>
    <w:rsid w:val="18D314AE"/>
    <w:rsid w:val="18F002B2"/>
    <w:rsid w:val="18FA2EDF"/>
    <w:rsid w:val="19063631"/>
    <w:rsid w:val="191A70DD"/>
    <w:rsid w:val="193957B5"/>
    <w:rsid w:val="193E726F"/>
    <w:rsid w:val="19614D0C"/>
    <w:rsid w:val="19A277FE"/>
    <w:rsid w:val="19B117EF"/>
    <w:rsid w:val="19B337B9"/>
    <w:rsid w:val="19C332D1"/>
    <w:rsid w:val="19C534ED"/>
    <w:rsid w:val="19C77265"/>
    <w:rsid w:val="19F31E08"/>
    <w:rsid w:val="1A6745A4"/>
    <w:rsid w:val="1AAE21D3"/>
    <w:rsid w:val="1AD27C6F"/>
    <w:rsid w:val="1ADA6B24"/>
    <w:rsid w:val="1AF5395E"/>
    <w:rsid w:val="1AFA71C6"/>
    <w:rsid w:val="1B252495"/>
    <w:rsid w:val="1B373F76"/>
    <w:rsid w:val="1B395F40"/>
    <w:rsid w:val="1BAA0BEC"/>
    <w:rsid w:val="1BC25F36"/>
    <w:rsid w:val="1BE22134"/>
    <w:rsid w:val="1C0227D6"/>
    <w:rsid w:val="1C69015F"/>
    <w:rsid w:val="1CD6156D"/>
    <w:rsid w:val="1E032835"/>
    <w:rsid w:val="1E114F52"/>
    <w:rsid w:val="1E2527AC"/>
    <w:rsid w:val="1E8F5E77"/>
    <w:rsid w:val="1EB63404"/>
    <w:rsid w:val="1EBB4EBE"/>
    <w:rsid w:val="1ECB5101"/>
    <w:rsid w:val="1F29296D"/>
    <w:rsid w:val="1F69491A"/>
    <w:rsid w:val="1FC009DE"/>
    <w:rsid w:val="1FE3647B"/>
    <w:rsid w:val="20112FE8"/>
    <w:rsid w:val="20337402"/>
    <w:rsid w:val="20384A18"/>
    <w:rsid w:val="20517888"/>
    <w:rsid w:val="20AC0F62"/>
    <w:rsid w:val="20BE47F2"/>
    <w:rsid w:val="20C438D7"/>
    <w:rsid w:val="21350F58"/>
    <w:rsid w:val="21731A80"/>
    <w:rsid w:val="21B55BF5"/>
    <w:rsid w:val="21C83B7A"/>
    <w:rsid w:val="224317F2"/>
    <w:rsid w:val="2268710B"/>
    <w:rsid w:val="228A7081"/>
    <w:rsid w:val="22BA3F45"/>
    <w:rsid w:val="22CA1B74"/>
    <w:rsid w:val="22D64075"/>
    <w:rsid w:val="22E91FFA"/>
    <w:rsid w:val="235C0A1E"/>
    <w:rsid w:val="236B6EB3"/>
    <w:rsid w:val="23AD1279"/>
    <w:rsid w:val="23B95E70"/>
    <w:rsid w:val="24480FA2"/>
    <w:rsid w:val="2452748C"/>
    <w:rsid w:val="245A2A83"/>
    <w:rsid w:val="246851A0"/>
    <w:rsid w:val="249146F7"/>
    <w:rsid w:val="249917FE"/>
    <w:rsid w:val="24DB0068"/>
    <w:rsid w:val="25302162"/>
    <w:rsid w:val="253357AE"/>
    <w:rsid w:val="258949F8"/>
    <w:rsid w:val="25D80104"/>
    <w:rsid w:val="2628108B"/>
    <w:rsid w:val="26712A32"/>
    <w:rsid w:val="267C13D7"/>
    <w:rsid w:val="26C1503C"/>
    <w:rsid w:val="26F92A28"/>
    <w:rsid w:val="26FE1DEC"/>
    <w:rsid w:val="272F1FA5"/>
    <w:rsid w:val="275F6D2E"/>
    <w:rsid w:val="277125BE"/>
    <w:rsid w:val="279664C8"/>
    <w:rsid w:val="27BF157B"/>
    <w:rsid w:val="27D33279"/>
    <w:rsid w:val="27ED6B9C"/>
    <w:rsid w:val="27F51441"/>
    <w:rsid w:val="28304227"/>
    <w:rsid w:val="283755B5"/>
    <w:rsid w:val="2858591E"/>
    <w:rsid w:val="288400CF"/>
    <w:rsid w:val="28A569C3"/>
    <w:rsid w:val="28CD7CC8"/>
    <w:rsid w:val="28EA087A"/>
    <w:rsid w:val="290F6532"/>
    <w:rsid w:val="291678C1"/>
    <w:rsid w:val="29345F99"/>
    <w:rsid w:val="29543F45"/>
    <w:rsid w:val="296A3769"/>
    <w:rsid w:val="299F1664"/>
    <w:rsid w:val="29E03A2B"/>
    <w:rsid w:val="2A102562"/>
    <w:rsid w:val="2AA64C74"/>
    <w:rsid w:val="2AB56C65"/>
    <w:rsid w:val="2AEB3C5A"/>
    <w:rsid w:val="2AEC6B2B"/>
    <w:rsid w:val="2B011EAB"/>
    <w:rsid w:val="2B193698"/>
    <w:rsid w:val="2B536BAA"/>
    <w:rsid w:val="2B6366C1"/>
    <w:rsid w:val="2B876854"/>
    <w:rsid w:val="2C3562B0"/>
    <w:rsid w:val="2C633EB8"/>
    <w:rsid w:val="2C673F8F"/>
    <w:rsid w:val="2C7E7C57"/>
    <w:rsid w:val="2CCF04B2"/>
    <w:rsid w:val="2D1E0AF2"/>
    <w:rsid w:val="2D256324"/>
    <w:rsid w:val="2D285E15"/>
    <w:rsid w:val="2D652BC5"/>
    <w:rsid w:val="2D9139BA"/>
    <w:rsid w:val="2D9D410D"/>
    <w:rsid w:val="2E1122DB"/>
    <w:rsid w:val="2E3507E9"/>
    <w:rsid w:val="2EB21E3A"/>
    <w:rsid w:val="2EBD433B"/>
    <w:rsid w:val="2F300FB0"/>
    <w:rsid w:val="2F3C7955"/>
    <w:rsid w:val="2F522CD5"/>
    <w:rsid w:val="2F7B66D0"/>
    <w:rsid w:val="2F837A4C"/>
    <w:rsid w:val="2F9A71B5"/>
    <w:rsid w:val="2FDD2EE6"/>
    <w:rsid w:val="2FEF2C1A"/>
    <w:rsid w:val="30406FD1"/>
    <w:rsid w:val="304312C5"/>
    <w:rsid w:val="30C95219"/>
    <w:rsid w:val="30E81B43"/>
    <w:rsid w:val="3135465C"/>
    <w:rsid w:val="313A6116"/>
    <w:rsid w:val="3148438F"/>
    <w:rsid w:val="314E571E"/>
    <w:rsid w:val="31701B38"/>
    <w:rsid w:val="31C003CA"/>
    <w:rsid w:val="320E7B77"/>
    <w:rsid w:val="325F4087"/>
    <w:rsid w:val="32713DBA"/>
    <w:rsid w:val="332B5D17"/>
    <w:rsid w:val="33977850"/>
    <w:rsid w:val="33D740F0"/>
    <w:rsid w:val="342842DC"/>
    <w:rsid w:val="342E1F62"/>
    <w:rsid w:val="344829C9"/>
    <w:rsid w:val="34790D04"/>
    <w:rsid w:val="34AE30A3"/>
    <w:rsid w:val="350E769E"/>
    <w:rsid w:val="3550415A"/>
    <w:rsid w:val="358D2CB9"/>
    <w:rsid w:val="35E548A3"/>
    <w:rsid w:val="35EB79DF"/>
    <w:rsid w:val="35F25212"/>
    <w:rsid w:val="35F92264"/>
    <w:rsid w:val="36317AE8"/>
    <w:rsid w:val="363B0967"/>
    <w:rsid w:val="36996E83"/>
    <w:rsid w:val="36D36DF1"/>
    <w:rsid w:val="36F34D9D"/>
    <w:rsid w:val="37427AD3"/>
    <w:rsid w:val="379C3687"/>
    <w:rsid w:val="38194CD8"/>
    <w:rsid w:val="388C36FB"/>
    <w:rsid w:val="38B60778"/>
    <w:rsid w:val="38BF587F"/>
    <w:rsid w:val="38CC3AF8"/>
    <w:rsid w:val="38FB262F"/>
    <w:rsid w:val="3902576C"/>
    <w:rsid w:val="391D07F7"/>
    <w:rsid w:val="39203E44"/>
    <w:rsid w:val="39534219"/>
    <w:rsid w:val="39663F4D"/>
    <w:rsid w:val="39C46EC5"/>
    <w:rsid w:val="39E11825"/>
    <w:rsid w:val="39FF0CD8"/>
    <w:rsid w:val="3A175247"/>
    <w:rsid w:val="3A2D05C6"/>
    <w:rsid w:val="3A2F07E2"/>
    <w:rsid w:val="3A3000B7"/>
    <w:rsid w:val="3A63223A"/>
    <w:rsid w:val="3A8328DC"/>
    <w:rsid w:val="3A856654"/>
    <w:rsid w:val="3A9C574C"/>
    <w:rsid w:val="3A9E3272"/>
    <w:rsid w:val="3AD76784"/>
    <w:rsid w:val="3ADE5D64"/>
    <w:rsid w:val="3AEA295B"/>
    <w:rsid w:val="3B457B92"/>
    <w:rsid w:val="3B53405D"/>
    <w:rsid w:val="3BAC5E63"/>
    <w:rsid w:val="3BCC2061"/>
    <w:rsid w:val="3BF82E56"/>
    <w:rsid w:val="3BFF41E4"/>
    <w:rsid w:val="3BFF5F92"/>
    <w:rsid w:val="3C526A0A"/>
    <w:rsid w:val="3C5462DE"/>
    <w:rsid w:val="3C577B7C"/>
    <w:rsid w:val="3C7F70D3"/>
    <w:rsid w:val="3CAA4150"/>
    <w:rsid w:val="3CF63839"/>
    <w:rsid w:val="3D12278C"/>
    <w:rsid w:val="3D136199"/>
    <w:rsid w:val="3D6E1622"/>
    <w:rsid w:val="3D711112"/>
    <w:rsid w:val="3D74475E"/>
    <w:rsid w:val="3D9F527F"/>
    <w:rsid w:val="3DB86D41"/>
    <w:rsid w:val="3DEA7081"/>
    <w:rsid w:val="3E154DA9"/>
    <w:rsid w:val="3E546A69"/>
    <w:rsid w:val="3E7E3AE6"/>
    <w:rsid w:val="3EC3774B"/>
    <w:rsid w:val="3ED23E32"/>
    <w:rsid w:val="3EE01103"/>
    <w:rsid w:val="3EE651E8"/>
    <w:rsid w:val="3FC217B1"/>
    <w:rsid w:val="3FE652DA"/>
    <w:rsid w:val="401C35B7"/>
    <w:rsid w:val="403501D5"/>
    <w:rsid w:val="40BE641C"/>
    <w:rsid w:val="40D07EFD"/>
    <w:rsid w:val="41232723"/>
    <w:rsid w:val="41AA4BF2"/>
    <w:rsid w:val="41B255C8"/>
    <w:rsid w:val="41D41C6F"/>
    <w:rsid w:val="42165DE4"/>
    <w:rsid w:val="426B4382"/>
    <w:rsid w:val="426D634C"/>
    <w:rsid w:val="42755200"/>
    <w:rsid w:val="42A81132"/>
    <w:rsid w:val="42C341BE"/>
    <w:rsid w:val="42D00689"/>
    <w:rsid w:val="43192030"/>
    <w:rsid w:val="431F6F1A"/>
    <w:rsid w:val="43B41D58"/>
    <w:rsid w:val="43B9736F"/>
    <w:rsid w:val="43CA332A"/>
    <w:rsid w:val="440E1469"/>
    <w:rsid w:val="441822E7"/>
    <w:rsid w:val="44185E43"/>
    <w:rsid w:val="442E1B0B"/>
    <w:rsid w:val="444E3F5B"/>
    <w:rsid w:val="4464552C"/>
    <w:rsid w:val="446B68BB"/>
    <w:rsid w:val="44A26055"/>
    <w:rsid w:val="44E272A8"/>
    <w:rsid w:val="44EF3FD1"/>
    <w:rsid w:val="457C0654"/>
    <w:rsid w:val="45B55914"/>
    <w:rsid w:val="45C2075D"/>
    <w:rsid w:val="464473C4"/>
    <w:rsid w:val="469D2F78"/>
    <w:rsid w:val="46DA1AD6"/>
    <w:rsid w:val="46FC1A4C"/>
    <w:rsid w:val="47190850"/>
    <w:rsid w:val="47721D0E"/>
    <w:rsid w:val="47BF7590"/>
    <w:rsid w:val="47EF335F"/>
    <w:rsid w:val="483E7D26"/>
    <w:rsid w:val="487D6BBD"/>
    <w:rsid w:val="490B5F77"/>
    <w:rsid w:val="49736367"/>
    <w:rsid w:val="49C66341"/>
    <w:rsid w:val="49DB1DED"/>
    <w:rsid w:val="49FE5ADB"/>
    <w:rsid w:val="4A0155CC"/>
    <w:rsid w:val="4AA448D5"/>
    <w:rsid w:val="4B1732F9"/>
    <w:rsid w:val="4BA3693A"/>
    <w:rsid w:val="4BC93EC7"/>
    <w:rsid w:val="4BD50ABE"/>
    <w:rsid w:val="4BEA27BB"/>
    <w:rsid w:val="4C147838"/>
    <w:rsid w:val="4C6521D2"/>
    <w:rsid w:val="4C786019"/>
    <w:rsid w:val="4D4E28D6"/>
    <w:rsid w:val="4D722A68"/>
    <w:rsid w:val="4DAF7C6A"/>
    <w:rsid w:val="4E451F2B"/>
    <w:rsid w:val="4E775E5C"/>
    <w:rsid w:val="4E994025"/>
    <w:rsid w:val="4EEF633A"/>
    <w:rsid w:val="4F2E6E63"/>
    <w:rsid w:val="4F322AC9"/>
    <w:rsid w:val="4FA709C3"/>
    <w:rsid w:val="4FD5531F"/>
    <w:rsid w:val="4FDC68BF"/>
    <w:rsid w:val="501F0559"/>
    <w:rsid w:val="50354221"/>
    <w:rsid w:val="5038161B"/>
    <w:rsid w:val="50C01D3C"/>
    <w:rsid w:val="50D8235D"/>
    <w:rsid w:val="51423EF1"/>
    <w:rsid w:val="51450494"/>
    <w:rsid w:val="51491D32"/>
    <w:rsid w:val="5156444F"/>
    <w:rsid w:val="51AC0513"/>
    <w:rsid w:val="51C413B8"/>
    <w:rsid w:val="51ED5BEA"/>
    <w:rsid w:val="52021EE1"/>
    <w:rsid w:val="522E0F28"/>
    <w:rsid w:val="522E717A"/>
    <w:rsid w:val="52416EAD"/>
    <w:rsid w:val="52A336C4"/>
    <w:rsid w:val="52F67C97"/>
    <w:rsid w:val="53146370"/>
    <w:rsid w:val="53486019"/>
    <w:rsid w:val="5349426B"/>
    <w:rsid w:val="5380105E"/>
    <w:rsid w:val="538F3C48"/>
    <w:rsid w:val="539574B0"/>
    <w:rsid w:val="53A771E4"/>
    <w:rsid w:val="53CC6C4A"/>
    <w:rsid w:val="53EE096F"/>
    <w:rsid w:val="53FF492A"/>
    <w:rsid w:val="544762D1"/>
    <w:rsid w:val="54505185"/>
    <w:rsid w:val="545253A1"/>
    <w:rsid w:val="5495703C"/>
    <w:rsid w:val="54992FD0"/>
    <w:rsid w:val="54D9161F"/>
    <w:rsid w:val="54F46459"/>
    <w:rsid w:val="552C5BF2"/>
    <w:rsid w:val="552C79A0"/>
    <w:rsid w:val="55382D71"/>
    <w:rsid w:val="55425416"/>
    <w:rsid w:val="55570796"/>
    <w:rsid w:val="55807CEC"/>
    <w:rsid w:val="55B87486"/>
    <w:rsid w:val="561C5C67"/>
    <w:rsid w:val="5621327D"/>
    <w:rsid w:val="56486A5C"/>
    <w:rsid w:val="56867584"/>
    <w:rsid w:val="56A17F1A"/>
    <w:rsid w:val="57560D05"/>
    <w:rsid w:val="57684EDC"/>
    <w:rsid w:val="57727B09"/>
    <w:rsid w:val="578A30A4"/>
    <w:rsid w:val="57A557E8"/>
    <w:rsid w:val="58044C05"/>
    <w:rsid w:val="580C3AB9"/>
    <w:rsid w:val="58177813"/>
    <w:rsid w:val="582E3A30"/>
    <w:rsid w:val="584E5E80"/>
    <w:rsid w:val="58977827"/>
    <w:rsid w:val="58D97E3F"/>
    <w:rsid w:val="59034EBC"/>
    <w:rsid w:val="591946E0"/>
    <w:rsid w:val="593E4146"/>
    <w:rsid w:val="59417793"/>
    <w:rsid w:val="59441031"/>
    <w:rsid w:val="594B0611"/>
    <w:rsid w:val="59561490"/>
    <w:rsid w:val="599124C8"/>
    <w:rsid w:val="59C06909"/>
    <w:rsid w:val="59E20F76"/>
    <w:rsid w:val="59FA62BF"/>
    <w:rsid w:val="5AB75F5E"/>
    <w:rsid w:val="5B953DC6"/>
    <w:rsid w:val="5C076A71"/>
    <w:rsid w:val="5C2C297C"/>
    <w:rsid w:val="5C45759A"/>
    <w:rsid w:val="5C593045"/>
    <w:rsid w:val="5C700ABB"/>
    <w:rsid w:val="5CDF354A"/>
    <w:rsid w:val="5D0C00B7"/>
    <w:rsid w:val="5D83481E"/>
    <w:rsid w:val="5D9663F4"/>
    <w:rsid w:val="5DBB3FB7"/>
    <w:rsid w:val="5E135BA1"/>
    <w:rsid w:val="5E1E4546"/>
    <w:rsid w:val="5E2356B9"/>
    <w:rsid w:val="5E5D6E1D"/>
    <w:rsid w:val="5E710B1A"/>
    <w:rsid w:val="5EBF3633"/>
    <w:rsid w:val="5EFE2B01"/>
    <w:rsid w:val="5F1576F7"/>
    <w:rsid w:val="5FC81A4F"/>
    <w:rsid w:val="5FE02B0A"/>
    <w:rsid w:val="5FE1701C"/>
    <w:rsid w:val="5FEB66AA"/>
    <w:rsid w:val="5FFB68ED"/>
    <w:rsid w:val="60340051"/>
    <w:rsid w:val="60453C66"/>
    <w:rsid w:val="607246D5"/>
    <w:rsid w:val="60793CB6"/>
    <w:rsid w:val="614E0C9F"/>
    <w:rsid w:val="616E1341"/>
    <w:rsid w:val="61B50D1E"/>
    <w:rsid w:val="623B56C7"/>
    <w:rsid w:val="625C7E30"/>
    <w:rsid w:val="628958C8"/>
    <w:rsid w:val="62D358FF"/>
    <w:rsid w:val="63611187"/>
    <w:rsid w:val="63ED29F1"/>
    <w:rsid w:val="63F9195E"/>
    <w:rsid w:val="642F4DB7"/>
    <w:rsid w:val="647E7AED"/>
    <w:rsid w:val="64AA6B34"/>
    <w:rsid w:val="64AD2180"/>
    <w:rsid w:val="64E060B2"/>
    <w:rsid w:val="65077AE2"/>
    <w:rsid w:val="651B60C2"/>
    <w:rsid w:val="656A1E1F"/>
    <w:rsid w:val="65775586"/>
    <w:rsid w:val="65FC6F1B"/>
    <w:rsid w:val="65FF8136"/>
    <w:rsid w:val="66546D57"/>
    <w:rsid w:val="66903B07"/>
    <w:rsid w:val="66AF21DF"/>
    <w:rsid w:val="66BD3B89"/>
    <w:rsid w:val="66FD65EC"/>
    <w:rsid w:val="671D539B"/>
    <w:rsid w:val="67931B01"/>
    <w:rsid w:val="679F04A6"/>
    <w:rsid w:val="67AE693B"/>
    <w:rsid w:val="67C1666E"/>
    <w:rsid w:val="67FF0F45"/>
    <w:rsid w:val="682E35D8"/>
    <w:rsid w:val="683706DE"/>
    <w:rsid w:val="68541290"/>
    <w:rsid w:val="689E250C"/>
    <w:rsid w:val="68C06926"/>
    <w:rsid w:val="69252C2D"/>
    <w:rsid w:val="69603C65"/>
    <w:rsid w:val="69796AD5"/>
    <w:rsid w:val="69961435"/>
    <w:rsid w:val="69A55B1C"/>
    <w:rsid w:val="69D41F5D"/>
    <w:rsid w:val="69DB32EB"/>
    <w:rsid w:val="6A0942FC"/>
    <w:rsid w:val="6A1D4C73"/>
    <w:rsid w:val="6A4E1D0F"/>
    <w:rsid w:val="6ACD532A"/>
    <w:rsid w:val="6AEA7C8A"/>
    <w:rsid w:val="6B1E7934"/>
    <w:rsid w:val="6B347157"/>
    <w:rsid w:val="6B874A80"/>
    <w:rsid w:val="6B881251"/>
    <w:rsid w:val="6BB362CE"/>
    <w:rsid w:val="6BF07522"/>
    <w:rsid w:val="6C264CF2"/>
    <w:rsid w:val="6C3513D9"/>
    <w:rsid w:val="6C6121CE"/>
    <w:rsid w:val="6D3E42BD"/>
    <w:rsid w:val="6D940381"/>
    <w:rsid w:val="6D9C3183"/>
    <w:rsid w:val="6DBB590E"/>
    <w:rsid w:val="6DE50BDD"/>
    <w:rsid w:val="6DE62B47"/>
    <w:rsid w:val="6E182D60"/>
    <w:rsid w:val="6E3D6323"/>
    <w:rsid w:val="6E4F6056"/>
    <w:rsid w:val="6EC32CCC"/>
    <w:rsid w:val="6ECE1671"/>
    <w:rsid w:val="6EE175F6"/>
    <w:rsid w:val="6F6822D7"/>
    <w:rsid w:val="6F833042"/>
    <w:rsid w:val="6F9E7295"/>
    <w:rsid w:val="6FA80114"/>
    <w:rsid w:val="6FC0720B"/>
    <w:rsid w:val="704B11CB"/>
    <w:rsid w:val="705C7751"/>
    <w:rsid w:val="70FA499F"/>
    <w:rsid w:val="711517D9"/>
    <w:rsid w:val="712776CC"/>
    <w:rsid w:val="71341C5F"/>
    <w:rsid w:val="715B3690"/>
    <w:rsid w:val="71BC7EA6"/>
    <w:rsid w:val="71F15DA2"/>
    <w:rsid w:val="7218332F"/>
    <w:rsid w:val="72421725"/>
    <w:rsid w:val="726F4F19"/>
    <w:rsid w:val="72BD7A32"/>
    <w:rsid w:val="72D8486C"/>
    <w:rsid w:val="72EE22E1"/>
    <w:rsid w:val="72F13B80"/>
    <w:rsid w:val="72FA5CB5"/>
    <w:rsid w:val="72FF004B"/>
    <w:rsid w:val="735465E8"/>
    <w:rsid w:val="73993FFB"/>
    <w:rsid w:val="73C60B68"/>
    <w:rsid w:val="742F4960"/>
    <w:rsid w:val="745368A0"/>
    <w:rsid w:val="74620891"/>
    <w:rsid w:val="74F160B9"/>
    <w:rsid w:val="758E56B6"/>
    <w:rsid w:val="75C31803"/>
    <w:rsid w:val="75D51537"/>
    <w:rsid w:val="75DC4673"/>
    <w:rsid w:val="76360227"/>
    <w:rsid w:val="76465F91"/>
    <w:rsid w:val="766C3C49"/>
    <w:rsid w:val="76854D0B"/>
    <w:rsid w:val="768A0573"/>
    <w:rsid w:val="772207AC"/>
    <w:rsid w:val="7730111A"/>
    <w:rsid w:val="773C7ABF"/>
    <w:rsid w:val="775F555C"/>
    <w:rsid w:val="7772528F"/>
    <w:rsid w:val="77901BB9"/>
    <w:rsid w:val="77A43A6B"/>
    <w:rsid w:val="77E617D9"/>
    <w:rsid w:val="77EFFCF2"/>
    <w:rsid w:val="780D4FB8"/>
    <w:rsid w:val="782347DB"/>
    <w:rsid w:val="78280044"/>
    <w:rsid w:val="78680440"/>
    <w:rsid w:val="789E20B4"/>
    <w:rsid w:val="78A0407E"/>
    <w:rsid w:val="78A7540C"/>
    <w:rsid w:val="78AD18CD"/>
    <w:rsid w:val="78DD498A"/>
    <w:rsid w:val="78E71CAD"/>
    <w:rsid w:val="7924080B"/>
    <w:rsid w:val="796926C2"/>
    <w:rsid w:val="797C218B"/>
    <w:rsid w:val="79A731EA"/>
    <w:rsid w:val="79EB1329"/>
    <w:rsid w:val="7A123DB6"/>
    <w:rsid w:val="7A6B246A"/>
    <w:rsid w:val="7A8552D9"/>
    <w:rsid w:val="7ACC2F08"/>
    <w:rsid w:val="7B114DBF"/>
    <w:rsid w:val="7B4E6013"/>
    <w:rsid w:val="7B580C40"/>
    <w:rsid w:val="7B7A2964"/>
    <w:rsid w:val="7B803CF3"/>
    <w:rsid w:val="7BEECF46"/>
    <w:rsid w:val="7BF704C2"/>
    <w:rsid w:val="7C0B0F2B"/>
    <w:rsid w:val="7C945CA8"/>
    <w:rsid w:val="7CBA20AA"/>
    <w:rsid w:val="7D884CF3"/>
    <w:rsid w:val="7DC2087C"/>
    <w:rsid w:val="7E4454AB"/>
    <w:rsid w:val="7EA128FE"/>
    <w:rsid w:val="7EFF776B"/>
    <w:rsid w:val="7F337154"/>
    <w:rsid w:val="7FA97CBC"/>
    <w:rsid w:val="7FED152D"/>
    <w:rsid w:val="7FFD7E66"/>
    <w:rsid w:val="CE171D70"/>
    <w:rsid w:val="D7CDF66E"/>
    <w:rsid w:val="E7CA49CF"/>
    <w:rsid w:val="F7AF7F2A"/>
    <w:rsid w:val="F9FFD381"/>
    <w:rsid w:val="FDFED87C"/>
    <w:rsid w:val="FE7BB6CB"/>
    <w:rsid w:val="FEBB4D4C"/>
    <w:rsid w:val="FEFB5316"/>
    <w:rsid w:val="FF1FD1FC"/>
    <w:rsid w:val="FFC43C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outlineLvl w:val="1"/>
    </w:pPr>
    <w:rPr>
      <w:rFonts w:ascii="Cambria" w:hAnsi="Cambria" w:eastAsia="宋体" w:cs="Times New Roman"/>
      <w:b/>
      <w:bCs/>
      <w:color w:val="000000"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3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15"/>
    <w:autoRedefine/>
    <w:qFormat/>
    <w:uiPriority w:val="0"/>
    <w:rPr>
      <w:rFonts w:ascii="宋体"/>
      <w:sz w:val="18"/>
      <w:szCs w:val="18"/>
    </w:rPr>
  </w:style>
  <w:style w:type="paragraph" w:styleId="6">
    <w:name w:val="toc 3"/>
    <w:basedOn w:val="1"/>
    <w:next w:val="1"/>
    <w:autoRedefine/>
    <w:qFormat/>
    <w:uiPriority w:val="0"/>
    <w:pPr>
      <w:ind w:left="480"/>
    </w:pPr>
  </w:style>
  <w:style w:type="paragraph" w:styleId="7">
    <w:name w:val="footer"/>
    <w:basedOn w:val="1"/>
    <w:link w:val="16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qFormat/>
    <w:uiPriority w:val="39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Title"/>
    <w:basedOn w:val="1"/>
    <w:next w:val="1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Times New Roman"/>
      <w:b/>
      <w:bCs/>
      <w:sz w:val="32"/>
      <w:szCs w:val="32"/>
    </w:rPr>
  </w:style>
  <w:style w:type="character" w:styleId="14">
    <w:name w:val="Hyperlink"/>
    <w:basedOn w:val="13"/>
    <w:autoRedefine/>
    <w:unhideWhenUsed/>
    <w:qFormat/>
    <w:uiPriority w:val="99"/>
    <w:rPr>
      <w:color w:val="0000FF"/>
      <w:u w:val="single"/>
    </w:rPr>
  </w:style>
  <w:style w:type="character" w:customStyle="1" w:styleId="15">
    <w:name w:val="文档结构图 Char"/>
    <w:basedOn w:val="13"/>
    <w:link w:val="5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6">
    <w:name w:val="页脚 Char"/>
    <w:basedOn w:val="13"/>
    <w:link w:val="7"/>
    <w:autoRedefine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眉 Char"/>
    <w:basedOn w:val="13"/>
    <w:link w:val="8"/>
    <w:autoRedefine/>
    <w:uiPriority w:val="0"/>
    <w:rPr>
      <w:rFonts w:ascii="Calibri" w:hAnsi="Calibri"/>
      <w:kern w:val="2"/>
      <w:sz w:val="18"/>
      <w:szCs w:val="18"/>
    </w:rPr>
  </w:style>
  <w:style w:type="paragraph" w:customStyle="1" w:styleId="18">
    <w:name w:val="WPSOffice手动目录 1"/>
    <w:autoRedefine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WPSOffice手动目录 2"/>
    <w:autoRedefine/>
    <w:qFormat/>
    <w:uiPriority w:val="0"/>
    <w:pPr>
      <w:ind w:leftChars="200"/>
    </w:pPr>
    <w:rPr>
      <w:rFonts w:ascii="Calibri" w:hAnsi="Calibri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2" Type="http://schemas.openxmlformats.org/officeDocument/2006/relationships/fontTable" Target="fontTable.xml"/><Relationship Id="rId71" Type="http://schemas.openxmlformats.org/officeDocument/2006/relationships/numbering" Target="numbering.xml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2243</Words>
  <Characters>2315</Characters>
  <Lines>28</Lines>
  <Paragraphs>8</Paragraphs>
  <TotalTime>0</TotalTime>
  <ScaleCrop>false</ScaleCrop>
  <LinksUpToDate>false</LinksUpToDate>
  <CharactersWithSpaces>2353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2021-12-10T05:21:00Z</dcterms:created>
  <dc:creator>Administrator</dc:creator>
  <cp:lastModifiedBy>Rin</cp:lastModifiedBy>
  <dcterms:modified xsi:type="dcterms:W3CDTF">2024-04-24T09:00:59Z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19458F01ECA3F2725F7B5C65FB2EE914_43</vt:lpwstr>
  </property>
  <property fmtid="{D5CDD505-2E9C-101B-9397-08002B2CF9AE}" pid="3" name="KSOProductBuildVer">
    <vt:lpwstr>2052-12.1.0.16729</vt:lpwstr>
  </property>
</Properties>
</file>