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12.0 -->
  <w:body>
    <w:p>
      <w:pPr>
        <w:ind w:firstLine="560" w:firstLineChars="100"/>
        <w:jc w:val="center"/>
        <w:rPr>
          <w:rFonts w:ascii="宋体" w:hAnsi="宋体" w:hint="eastAsia"/>
          <w:b/>
          <w:sz w:val="56"/>
          <w:szCs w:val="52"/>
        </w:rPr>
      </w:pPr>
      <w:bookmarkStart w:id="0" w:name="_Toc4070"/>
      <w:r>
        <w:rPr>
          <w:rFonts w:ascii="宋体" w:hAnsi="宋体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19050" b="635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100"/>
        <w:rPr>
          <w:rFonts w:ascii="宋体" w:hAnsi="宋体"/>
          <w:b/>
          <w:sz w:val="56"/>
          <w:szCs w:val="52"/>
        </w:rPr>
      </w:pPr>
      <w:r>
        <w:rPr>
          <w:rFonts w:ascii="宋体" w:hAnsi="宋体" w:hint="eastAsia"/>
          <w:b/>
          <w:sz w:val="56"/>
          <w:szCs w:val="52"/>
        </w:rPr>
        <w:t>维普毕业</w:t>
      </w:r>
      <w:r>
        <w:rPr>
          <w:rFonts w:ascii="宋体" w:hAnsi="宋体" w:hint="eastAsia"/>
          <w:b/>
          <w:sz w:val="56"/>
          <w:szCs w:val="52"/>
          <w:lang w:val="en-US" w:eastAsia="zh-CN"/>
        </w:rPr>
        <w:t>论文</w:t>
      </w:r>
      <w:r>
        <w:rPr>
          <w:rFonts w:ascii="宋体" w:hAnsi="宋体" w:hint="eastAsia"/>
          <w:b/>
          <w:sz w:val="56"/>
          <w:szCs w:val="52"/>
        </w:rPr>
        <w:t>（</w:t>
      </w:r>
      <w:r>
        <w:rPr>
          <w:rFonts w:ascii="宋体" w:hAnsi="宋体" w:hint="eastAsia"/>
          <w:b/>
          <w:sz w:val="56"/>
          <w:szCs w:val="52"/>
          <w:lang w:val="en-US" w:eastAsia="zh-CN"/>
        </w:rPr>
        <w:t>设计</w:t>
      </w:r>
      <w:r>
        <w:rPr>
          <w:rFonts w:ascii="宋体" w:hAnsi="宋体" w:hint="eastAsia"/>
          <w:b/>
          <w:sz w:val="56"/>
          <w:szCs w:val="52"/>
        </w:rPr>
        <w:t>）管理系统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outlineLvl w:val="0"/>
        <w:rPr>
          <w:rFonts w:ascii="宋体" w:hAnsi="宋体"/>
          <w:b/>
          <w:sz w:val="56"/>
          <w:szCs w:val="52"/>
        </w:rPr>
      </w:pPr>
      <w:bookmarkStart w:id="1" w:name="_Toc1287"/>
      <w:r>
        <w:rPr>
          <w:rFonts w:ascii="宋体" w:hAnsi="宋体" w:hint="eastAsia"/>
          <w:b/>
          <w:sz w:val="56"/>
          <w:szCs w:val="52"/>
        </w:rPr>
        <w:t>用户操作手册</w:t>
      </w:r>
      <w:bookmarkEnd w:id="1"/>
    </w:p>
    <w:p>
      <w:pPr>
        <w:jc w:val="center"/>
        <w:rPr>
          <w:rFonts w:ascii="宋体" w:hAnsi="宋体"/>
          <w:b/>
          <w:sz w:val="48"/>
          <w:szCs w:val="52"/>
        </w:rPr>
      </w:pPr>
      <w:r>
        <w:rPr>
          <w:rFonts w:ascii="宋体" w:hAnsi="宋体" w:hint="eastAsia"/>
          <w:b/>
          <w:sz w:val="48"/>
          <w:szCs w:val="52"/>
        </w:rPr>
        <w:t>（</w:t>
      </w:r>
      <w:r>
        <w:rPr>
          <w:rFonts w:ascii="宋体" w:hAnsi="宋体" w:hint="eastAsia"/>
          <w:b/>
          <w:sz w:val="48"/>
          <w:szCs w:val="52"/>
          <w:lang w:val="en-US" w:eastAsia="zh-CN"/>
        </w:rPr>
        <w:t>教研室主任</w:t>
      </w:r>
      <w:r>
        <w:rPr>
          <w:rFonts w:ascii="宋体" w:hAnsi="宋体"/>
          <w:b/>
          <w:sz w:val="48"/>
          <w:u w:color="auto"/>
        </w:rPr>
        <w:t>角色</w:t>
      </w:r>
      <w:r>
        <w:rPr>
          <w:rFonts w:ascii="宋体" w:hAnsi="宋体" w:hint="eastAsia"/>
          <w:b/>
          <w:sz w:val="48"/>
          <w:szCs w:val="52"/>
        </w:rPr>
        <w:t>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30"/>
          <w:szCs w:val="30"/>
        </w:rPr>
      </w:pPr>
      <w:bookmarkStart w:id="2" w:name="_GoBack"/>
      <w:bookmarkEnd w:id="2"/>
      <w:r>
        <w:rPr>
          <w:rFonts w:ascii="宋体" w:hAnsi="宋体" w:hint="eastAsia"/>
          <w:sz w:val="30"/>
          <w:szCs w:val="30"/>
        </w:rPr>
        <w:t>重庆泛语科技有限公司</w:t>
      </w:r>
    </w:p>
    <w:p>
      <w:pPr>
        <w:jc w:val="center"/>
        <w:rPr>
          <w:rFonts w:ascii="宋体" w:eastAsia="宋体" w:hAnsi="宋体" w:hint="default"/>
          <w:sz w:val="30"/>
          <w:szCs w:val="30"/>
          <w:lang w:val="en-US" w:eastAsia="zh-CN"/>
        </w:rPr>
      </w:pPr>
      <w:r>
        <w:rPr>
          <w:rFonts w:ascii="宋体" w:hAnsi="宋体" w:hint="eastAsia"/>
          <w:sz w:val="30"/>
          <w:szCs w:val="30"/>
          <w:lang w:val="en-US" w:eastAsia="zh-CN"/>
        </w:rPr>
        <w:t>二〇二四年四月二十四日</w:t>
      </w:r>
    </w:p>
    <w:p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br w:type="page"/>
      </w:r>
    </w:p>
    <w:p>
      <w:pPr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目 录</w:t>
      </w:r>
    </w:p>
    <w:p>
      <w:pPr>
        <w:pStyle w:val="TOC1"/>
        <w:tabs>
          <w:tab w:val="left" w:pos="660"/>
          <w:tab w:val="right" w:leader="dot" w:pos="8296"/>
        </w:tabs>
        <w:rPr>
          <w:rFonts w:asciiTheme="minorHAnsi" w:hAnsiTheme="minorHAnsi"/>
          <w:noProof/>
          <w:sz w:val="22"/>
        </w:rPr>
      </w:pPr>
      <w:r>
        <w:fldChar w:fldCharType="begin"/>
      </w:r>
      <w:r>
        <w:instrText>TOC \o</w:instrText>
      </w:r>
      <w:r>
        <w:fldChar w:fldCharType="separate"/>
      </w:r>
      <w:r>
        <w:t>一、</w:t>
      </w:r>
      <w:r>
        <w:rPr>
          <w:rFonts w:asciiTheme="minorHAnsi" w:hAnsiTheme="minorHAnsi"/>
          <w:noProof/>
          <w:sz w:val="22"/>
        </w:rPr>
        <w:tab/>
      </w:r>
      <w:r>
        <w:rPr>
          <w:rFonts w:hint="eastAsia"/>
        </w:rPr>
        <w:t>系统登录</w:t>
      </w:r>
      <w:r>
        <w:tab/>
      </w:r>
      <w:r>
        <w:fldChar w:fldCharType="begin"/>
      </w:r>
      <w:r>
        <w:instrText xml:space="preserve"> PAGEREF _Toc256000000 \h </w:instrText>
      </w:r>
      <w:r>
        <w:fldChar w:fldCharType="separate"/>
      </w:r>
      <w:r>
        <w:t>3</w:t>
      </w:r>
      <w:r>
        <w:fldChar w:fldCharType="end"/>
      </w:r>
    </w:p>
    <w:p>
      <w:pPr>
        <w:pStyle w:val="TOC1"/>
        <w:tabs>
          <w:tab w:val="left" w:pos="660"/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二、</w:t>
      </w:r>
      <w:r>
        <w:rPr>
          <w:rFonts w:asciiTheme="minorHAnsi" w:hAnsiTheme="minorHAnsi"/>
          <w:noProof/>
          <w:sz w:val="22"/>
        </w:rPr>
        <w:tab/>
      </w:r>
      <w:r>
        <w:rPr>
          <w:rFonts w:hint="eastAsia"/>
        </w:rPr>
        <w:t>个人</w:t>
      </w:r>
      <w:r>
        <w:rPr>
          <w:rFonts w:hint="eastAsia"/>
        </w:rPr>
        <w:t>设置</w:t>
      </w:r>
      <w:r>
        <w:tab/>
      </w:r>
      <w:r>
        <w:fldChar w:fldCharType="begin"/>
      </w:r>
      <w:r>
        <w:instrText xml:space="preserve"> PAGEREF _Toc256000001 \h </w:instrText>
      </w:r>
      <w:r>
        <w:fldChar w:fldCharType="separate"/>
      </w:r>
      <w:r>
        <w:t>3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1、个人信息</w:t>
      </w:r>
      <w:r>
        <w:tab/>
      </w:r>
      <w:r>
        <w:fldChar w:fldCharType="begin"/>
      </w:r>
      <w:r>
        <w:instrText xml:space="preserve"> PAGEREF _Toc256000002 \h </w:instrText>
      </w:r>
      <w:r>
        <w:fldChar w:fldCharType="separate"/>
      </w:r>
      <w:r>
        <w:t>3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2、安全中心</w:t>
      </w:r>
      <w:r>
        <w:tab/>
      </w:r>
      <w:r>
        <w:fldChar w:fldCharType="begin"/>
      </w:r>
      <w:r>
        <w:instrText xml:space="preserve"> PAGEREF _Toc256000003 \h </w:instrText>
      </w:r>
      <w:r>
        <w:fldChar w:fldCharType="separate"/>
      </w:r>
      <w:r>
        <w:t>4</w:t>
      </w:r>
      <w:r>
        <w:fldChar w:fldCharType="end"/>
      </w:r>
    </w:p>
    <w:p>
      <w:pPr>
        <w:pStyle w:val="TOC1"/>
        <w:tabs>
          <w:tab w:val="left" w:pos="660"/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三、</w:t>
      </w:r>
      <w:r>
        <w:rPr>
          <w:rFonts w:asciiTheme="minorHAnsi" w:hAnsiTheme="minorHAnsi"/>
          <w:noProof/>
          <w:sz w:val="22"/>
        </w:rPr>
        <w:tab/>
      </w:r>
      <w:r>
        <w:rPr>
          <w:rFonts w:hint="eastAsia"/>
        </w:rPr>
        <w:t>系统主流程及操作方法</w:t>
      </w:r>
      <w:r>
        <w:tab/>
      </w:r>
      <w:r>
        <w:fldChar w:fldCharType="begin"/>
      </w:r>
      <w:r>
        <w:instrText xml:space="preserve"> PAGEREF _Toc256000004 \h </w:instrText>
      </w:r>
      <w:r>
        <w:fldChar w:fldCharType="separate"/>
      </w:r>
      <w:r>
        <w:t>4</w:t>
      </w:r>
      <w:r>
        <w:fldChar w:fldCharType="end"/>
      </w:r>
    </w:p>
    <w:p>
      <w:pPr>
        <w:pStyle w:val="TOC1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1.过程管理</w:t>
      </w:r>
      <w:r>
        <w:tab/>
      </w:r>
      <w:r>
        <w:fldChar w:fldCharType="begin"/>
      </w:r>
      <w:r>
        <w:instrText xml:space="preserve"> PAGEREF _Toc256000005 \h </w:instrText>
      </w:r>
      <w:r>
        <w:fldChar w:fldCharType="separate"/>
      </w:r>
      <w:r>
        <w:t>5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1.1任务书</w:t>
      </w:r>
      <w:r>
        <w:tab/>
      </w:r>
      <w:r>
        <w:fldChar w:fldCharType="begin"/>
      </w:r>
      <w:r>
        <w:instrText xml:space="preserve"> PAGEREF _Toc256000006 \h </w:instrText>
      </w:r>
      <w:r>
        <w:fldChar w:fldCharType="separate"/>
      </w:r>
      <w:r>
        <w:t>5</w:t>
      </w:r>
      <w:r>
        <w:fldChar w:fldCharType="end"/>
      </w:r>
    </w:p>
    <w:p>
      <w:pPr>
        <w:pStyle w:val="TOC3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1.1.1审核任务书</w:t>
      </w:r>
      <w:r>
        <w:tab/>
      </w:r>
      <w:r>
        <w:fldChar w:fldCharType="begin"/>
      </w:r>
      <w:r>
        <w:instrText xml:space="preserve"> PAGEREF _Toc256000007 \h </w:instrText>
      </w:r>
      <w:r>
        <w:fldChar w:fldCharType="separate"/>
      </w:r>
      <w:r>
        <w:t>5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1.2开题报告</w:t>
      </w:r>
      <w:r>
        <w:tab/>
      </w:r>
      <w:r>
        <w:fldChar w:fldCharType="begin"/>
      </w:r>
      <w:r>
        <w:instrText xml:space="preserve"> PAGEREF _Toc256000008 \h </w:instrText>
      </w:r>
      <w:r>
        <w:fldChar w:fldCharType="separate"/>
      </w:r>
      <w:r>
        <w:t>6</w:t>
      </w:r>
      <w:r>
        <w:fldChar w:fldCharType="end"/>
      </w:r>
    </w:p>
    <w:p>
      <w:pPr>
        <w:pStyle w:val="TOC3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1.2.1审核开题报告</w:t>
      </w:r>
      <w:r>
        <w:tab/>
      </w:r>
      <w:r>
        <w:fldChar w:fldCharType="begin"/>
      </w:r>
      <w:r>
        <w:instrText xml:space="preserve"> PAGEREF _Toc256000009 \h </w:instrText>
      </w:r>
      <w:r>
        <w:fldChar w:fldCharType="separate"/>
      </w:r>
      <w:r>
        <w:t>6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1.3中期检查</w:t>
      </w:r>
      <w:r>
        <w:tab/>
      </w:r>
      <w:r>
        <w:fldChar w:fldCharType="begin"/>
      </w:r>
      <w:r>
        <w:instrText xml:space="preserve"> PAGEREF _Toc256000010 \h </w:instrText>
      </w:r>
      <w:r>
        <w:fldChar w:fldCharType="separate"/>
      </w:r>
      <w:r>
        <w:t>7</w:t>
      </w:r>
      <w:r>
        <w:fldChar w:fldCharType="end"/>
      </w:r>
    </w:p>
    <w:p>
      <w:pPr>
        <w:pStyle w:val="TOC3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1.3.1审核中期检查</w:t>
      </w:r>
      <w:r>
        <w:tab/>
      </w:r>
      <w:r>
        <w:fldChar w:fldCharType="begin"/>
      </w:r>
      <w:r>
        <w:instrText xml:space="preserve"> PAGEREF _Toc256000011 \h </w:instrText>
      </w:r>
      <w:r>
        <w:fldChar w:fldCharType="separate"/>
      </w:r>
      <w:r>
        <w:t>7</w:t>
      </w:r>
      <w:r>
        <w:fldChar w:fldCharType="end"/>
      </w:r>
    </w:p>
    <w:p>
      <w:pPr>
        <w:pStyle w:val="TOC1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2.评分管理</w:t>
      </w:r>
      <w:r>
        <w:tab/>
      </w:r>
      <w:r>
        <w:fldChar w:fldCharType="begin"/>
      </w:r>
      <w:r>
        <w:instrText xml:space="preserve"> PAGEREF _Toc256000012 \h </w:instrText>
      </w:r>
      <w:r>
        <w:fldChar w:fldCharType="separate"/>
      </w:r>
      <w:r>
        <w:t>8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2.1总评</w:t>
      </w:r>
      <w:r>
        <w:tab/>
      </w:r>
      <w:r>
        <w:fldChar w:fldCharType="begin"/>
      </w:r>
      <w:r>
        <w:instrText xml:space="preserve"> PAGEREF _Toc256000013 \h </w:instrText>
      </w:r>
      <w:r>
        <w:fldChar w:fldCharType="separate"/>
      </w:r>
      <w:r>
        <w:t>8</w:t>
      </w:r>
      <w:r>
        <w:fldChar w:fldCharType="end"/>
      </w:r>
    </w:p>
    <w:p>
      <w:pPr>
        <w:pStyle w:val="TOC3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t>2.1.1查看总评成绩</w:t>
      </w:r>
      <w:r>
        <w:tab/>
      </w:r>
      <w:r>
        <w:fldChar w:fldCharType="begin"/>
      </w:r>
      <w:r>
        <w:instrText xml:space="preserve"> PAGEREF _Toc256000014 \h </w:instrText>
      </w:r>
      <w:r>
        <w:fldChar w:fldCharType="separate"/>
      </w:r>
      <w:r>
        <w:t>8</w:t>
      </w:r>
      <w:r>
        <w:fldChar w:fldCharType="end"/>
      </w:r>
    </w:p>
    <w:p>
      <w:pPr>
        <w:pStyle w:val="TOC1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四</w:t>
      </w:r>
      <w:r>
        <w:rPr>
          <w:rFonts w:hint="eastAsia"/>
        </w:rPr>
        <w:t>、下载中心</w:t>
      </w:r>
      <w:r>
        <w:tab/>
      </w:r>
      <w:r>
        <w:fldChar w:fldCharType="begin"/>
      </w:r>
      <w:r>
        <w:instrText xml:space="preserve"> PAGEREF _Toc256000015 \h </w:instrText>
      </w:r>
      <w:r>
        <w:fldChar w:fldCharType="separate"/>
      </w:r>
      <w:r>
        <w:t>9</w:t>
      </w:r>
      <w:r>
        <w:fldChar w:fldCharType="end"/>
      </w:r>
    </w:p>
    <w:p>
      <w:pPr>
        <w:pStyle w:val="TOC1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五</w:t>
      </w:r>
      <w:r>
        <w:rPr>
          <w:rFonts w:hint="eastAsia"/>
        </w:rPr>
        <w:t>、消息管理</w:t>
      </w:r>
      <w:r>
        <w:tab/>
      </w:r>
      <w:r>
        <w:fldChar w:fldCharType="begin"/>
      </w:r>
      <w:r>
        <w:instrText xml:space="preserve"> PAGEREF _Toc256000016 \h </w:instrText>
      </w:r>
      <w:r>
        <w:fldChar w:fldCharType="separate"/>
      </w:r>
      <w:r>
        <w:t>10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1</w:t>
      </w:r>
      <w:r>
        <w:rPr>
          <w:rFonts w:hint="eastAsia"/>
        </w:rPr>
        <w:t>、站内信</w:t>
      </w:r>
      <w:r>
        <w:tab/>
      </w:r>
      <w:r>
        <w:fldChar w:fldCharType="begin"/>
      </w:r>
      <w:r>
        <w:instrText xml:space="preserve"> PAGEREF _Toc256000017 \h </w:instrText>
      </w:r>
      <w:r>
        <w:fldChar w:fldCharType="separate"/>
      </w:r>
      <w:r>
        <w:t>10</w:t>
      </w:r>
      <w:r>
        <w:fldChar w:fldCharType="end"/>
      </w:r>
    </w:p>
    <w:p>
      <w:pPr>
        <w:pStyle w:val="TOC2"/>
        <w:tabs>
          <w:tab w:val="right" w:leader="dot" w:pos="8296"/>
        </w:tabs>
        <w:rPr>
          <w:rFonts w:asciiTheme="minorHAnsi" w:hAnsiTheme="minorHAnsi"/>
          <w:noProof/>
          <w:sz w:val="22"/>
        </w:rPr>
      </w:pPr>
      <w:r>
        <w:rPr>
          <w:rFonts w:hint="eastAsia"/>
        </w:rPr>
        <w:t>2、公告管理</w:t>
      </w:r>
      <w:r>
        <w:tab/>
      </w:r>
      <w:r>
        <w:fldChar w:fldCharType="begin"/>
      </w:r>
      <w:r>
        <w:instrText xml:space="preserve"> PAGEREF _Toc256000018 \h </w:instrText>
      </w:r>
      <w:r>
        <w:fldChar w:fldCharType="separate"/>
      </w:r>
      <w:r>
        <w:t>10</w:t>
      </w:r>
      <w:r>
        <w:fldChar w:fldCharType="end"/>
      </w:r>
    </w:p>
    <w:p>
      <w:pPr>
        <w:ind w:firstLine="2100" w:firstLineChars="1000"/>
        <w:jc w:val="left"/>
        <w:rPr>
          <w:rFonts w:ascii="宋体" w:eastAsia="宋体" w:hAnsi="宋体" w:hint="default"/>
          <w:b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num="1" w:space="720"/>
          <w:docGrid w:type="lines" w:linePitch="312" w:charSpace="0"/>
        </w:sectPr>
      </w:pPr>
      <w:r>
        <w:fldChar w:fldCharType="end"/>
      </w:r>
    </w:p>
    <w:p>
      <w:pPr>
        <w:ind w:firstLine="2100" w:firstLineChars="1000"/>
        <w:rPr>
          <w:rFonts w:ascii="宋体" w:hAnsi="宋体" w:hint="eastAsia"/>
          <w:b/>
          <w:szCs w:val="30"/>
        </w:rPr>
      </w:pPr>
    </w:p>
    <w:p>
      <w:pPr>
        <w:pStyle w:val="Heading1"/>
        <w:numPr>
          <w:ilvl w:val="0"/>
          <w:numId w:val="1"/>
        </w:numPr>
        <w:spacing w:before="0" w:after="0" w:line="360" w:lineRule="auto"/>
      </w:pPr>
      <w:bookmarkStart w:id="3" w:name="_Toc14559"/>
      <w:bookmarkStart w:id="4" w:name="_Toc256000000"/>
      <w:r>
        <w:rPr>
          <w:rFonts w:hint="eastAsia"/>
        </w:rPr>
        <w:t>系统登录</w:t>
      </w:r>
      <w:bookmarkEnd w:id="4"/>
      <w:bookmarkEnd w:id="0"/>
      <w:bookmarkEnd w:id="3"/>
    </w:p>
    <w:p>
      <w:pPr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</w:rPr>
        <w:t>打开网址https://vgms.fanyu.com/，选择学校“</w:t>
      </w:r>
      <w:r>
        <w:rPr>
          <w:rFonts w:ascii="宋体" w:hAnsi="宋体" w:cs="宋体" w:hint="eastAsia"/>
          <w:lang w:val="en-US" w:eastAsia="zh-CN"/>
        </w:rPr>
        <w:t>成都文理学院</w:t>
      </w:r>
      <w:r>
        <w:rPr>
          <w:rFonts w:ascii="宋体" w:hAnsi="宋体" w:cs="宋体" w:hint="eastAsia"/>
        </w:rPr>
        <w:t>”，输入账号和密码（</w:t>
      </w:r>
      <w:r>
        <w:rPr>
          <w:rFonts w:ascii="宋体" w:hAnsi="宋体" w:cs="宋体" w:hint="eastAsia"/>
          <w:color w:val="FF0000"/>
        </w:rPr>
        <w:t>账号为学号/工号，初始密码：以学校通知为准）</w:t>
      </w:r>
      <w:r>
        <w:rPr>
          <w:rFonts w:ascii="宋体" w:hAnsi="宋体" w:cs="宋体" w:hint="eastAsia"/>
          <w:color w:val="000000"/>
        </w:rPr>
        <w:t>，点击登录即可。</w:t>
      </w:r>
    </w:p>
    <w:p>
      <w:r>
        <w:drawing>
          <wp:inline distT="0" distB="0" distL="114300" distR="114300">
            <wp:extent cx="5264785" cy="2598420"/>
            <wp:effectExtent l="0" t="0" r="18415" b="1778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注意：</w:t>
      </w:r>
      <w:r>
        <w:rPr>
          <w:rFonts w:ascii="宋体" w:hAnsi="宋体" w:cs="宋体" w:hint="eastAsia"/>
          <w:color w:val="FF0000"/>
          <w:lang w:eastAsia="zh-CN"/>
        </w:rPr>
        <w:t>如果</w:t>
      </w:r>
      <w:r>
        <w:rPr>
          <w:rFonts w:ascii="宋体" w:hAnsi="宋体" w:cs="宋体" w:hint="eastAsia"/>
          <w:color w:val="FF0000"/>
        </w:rPr>
        <w:t>学生</w:t>
      </w:r>
      <w:r>
        <w:rPr>
          <w:rFonts w:ascii="宋体" w:hAnsi="宋体" w:cs="宋体" w:hint="eastAsia"/>
          <w:color w:val="FF0000"/>
          <w:lang w:eastAsia="zh-CN"/>
        </w:rPr>
        <w:t>角色</w:t>
      </w:r>
      <w:r>
        <w:rPr>
          <w:rFonts w:ascii="宋体" w:hAnsi="宋体" w:cs="宋体" w:hint="eastAsia"/>
          <w:color w:val="FF0000"/>
        </w:rPr>
        <w:t>是双学位，还需要选择一次组织</w:t>
      </w:r>
      <w:r>
        <w:rPr>
          <w:rFonts w:ascii="宋体" w:hAnsi="宋体" w:cs="宋体" w:hint="eastAsia"/>
          <w:color w:val="FF0000"/>
          <w:lang w:eastAsia="zh-CN"/>
        </w:rPr>
        <w:t>；如果教师是多角色，还需要选择一次角色；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68595" cy="2616835"/>
            <wp:effectExtent l="0" t="0" r="14605" b="24765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Heading1"/>
        <w:numPr>
          <w:ilvl w:val="0"/>
          <w:numId w:val="1"/>
        </w:numPr>
        <w:spacing w:before="0" w:after="0" w:line="360" w:lineRule="auto"/>
        <w:rPr>
          <w:rFonts w:hint="eastAsia"/>
        </w:rPr>
      </w:pPr>
      <w:bookmarkStart w:id="5" w:name="_Toc21120"/>
      <w:bookmarkStart w:id="6" w:name="_Toc23876"/>
      <w:bookmarkStart w:id="7" w:name="_Toc256000001"/>
      <w:r>
        <w:rPr>
          <w:rFonts w:hint="eastAsia"/>
        </w:rPr>
        <w:t>个人</w:t>
      </w:r>
      <w:bookmarkEnd w:id="5"/>
      <w:r>
        <w:rPr>
          <w:rFonts w:hint="eastAsia"/>
        </w:rPr>
        <w:t>设置</w:t>
      </w:r>
      <w:bookmarkEnd w:id="7"/>
      <w:bookmarkEnd w:id="6"/>
    </w:p>
    <w:p>
      <w:pPr>
        <w:pStyle w:val="Heading2"/>
      </w:pPr>
      <w:bookmarkStart w:id="8" w:name="_Toc3167"/>
      <w:bookmarkStart w:id="9" w:name="_Toc256000002"/>
      <w:r>
        <w:rPr>
          <w:rFonts w:hint="eastAsia"/>
        </w:rPr>
        <w:t>1、个人信息</w:t>
      </w:r>
      <w:bookmarkEnd w:id="9"/>
      <w:bookmarkEnd w:id="8"/>
    </w:p>
    <w:p>
      <w:r>
        <w:rPr>
          <w:rFonts w:hint="eastAsia"/>
        </w:rPr>
        <w:t>第一步：点击左侧菜单进入“个人设置——个人信息”，这里可以填写自己的个人信息、电子签名等。</w:t>
      </w:r>
    </w:p>
    <w:p>
      <w:r>
        <w:drawing>
          <wp:inline distT="0" distB="0" distL="114300" distR="114300">
            <wp:extent cx="5269230" cy="2503805"/>
            <wp:effectExtent l="0" t="0" r="13970" b="10795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第二歩：所有内容填写无误后，点击“提交”按钮。</w:t>
      </w:r>
    </w:p>
    <w:p>
      <w:pPr>
        <w:pStyle w:val="Heading2"/>
        <w:rPr>
          <w:rFonts w:hint="eastAsia"/>
        </w:rPr>
      </w:pPr>
      <w:bookmarkStart w:id="10" w:name="_Toc20940"/>
      <w:bookmarkStart w:id="11" w:name="_Toc256000003"/>
      <w:r>
        <w:rPr>
          <w:rFonts w:hint="eastAsia"/>
        </w:rPr>
        <w:t>2、安全中心</w:t>
      </w:r>
      <w:bookmarkEnd w:id="11"/>
      <w:bookmarkEnd w:id="10"/>
    </w:p>
    <w:p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第一步：点击左侧菜单进入“个人设置——安全中心”。</w:t>
      </w:r>
    </w:p>
    <w:p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第二步：可根据自己需求在“个人设置-安全中心”中进行绑定安全邮箱、绑定手机号、绑定微信、密码修改等操作。绑定后，可用于找回密码或系统登录。</w:t>
      </w:r>
    </w:p>
    <w:p>
      <w:pPr>
        <w:rPr>
          <w:rFonts w:ascii="微软雅黑" w:eastAsia="微软雅黑" w:hAnsi="微软雅黑"/>
        </w:rPr>
      </w:pPr>
      <w:r>
        <w:drawing>
          <wp:inline distT="0" distB="0" distL="114300" distR="114300">
            <wp:extent cx="5264785" cy="2598420"/>
            <wp:effectExtent l="0" t="0" r="18415" b="1778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Heading1"/>
        <w:numPr>
          <w:ilvl w:val="0"/>
          <w:numId w:val="1"/>
        </w:numPr>
        <w:spacing w:before="0" w:after="0" w:line="360" w:lineRule="auto"/>
        <w:rPr>
          <w:rFonts w:ascii="Calibri" w:eastAsia="宋体" w:hAnsi="Calibri" w:cs="Times New Roman" w:hint="eastAsia"/>
          <w:lang w:val="en-US" w:eastAsia="zh-CN"/>
        </w:rPr>
      </w:pPr>
      <w:bookmarkStart w:id="12" w:name="_Toc6721"/>
      <w:bookmarkStart w:id="13" w:name="_Toc25080"/>
      <w:bookmarkStart w:id="14" w:name="_Toc256000004"/>
      <w:r>
        <w:rPr>
          <w:rFonts w:ascii="Calibri" w:eastAsia="宋体" w:hAnsi="Calibri" w:cs="Times New Roman" w:hint="eastAsia"/>
          <w:lang w:val="en-US" w:eastAsia="zh-CN"/>
        </w:rPr>
        <w:t>系统主流程及操作方法</w:t>
      </w:r>
      <w:bookmarkEnd w:id="14"/>
      <w:bookmarkEnd w:id="12"/>
      <w:bookmarkEnd w:id="13"/>
      <w:r>
        <w:rPr>
          <w:rFonts w:ascii="Calibri" w:eastAsia="宋体" w:hAnsi="Calibri" w:cs="Times New Roman" w:hint="eastAsia"/>
          <w:lang w:val="en-US" w:eastAsia="zh-CN"/>
        </w:rPr>
        <w:t xml:space="preserve"> </w:t>
      </w:r>
    </w:p>
    <w:p>
      <w:pPr>
        <w:spacing w:line="276" w:lineRule="auto"/>
        <w:rPr>
          <w:rFonts w:hint="eastAsia"/>
          <w:lang w:val="en-US" w:eastAsia="zh-CN"/>
        </w:rPr>
      </w:pPr>
    </w:p>
    <w:p>
      <w:pPr>
        <w:pStyle w:val="Heading1"/>
        <w:jc w:val="left"/>
      </w:pPr>
      <w:bookmarkStart w:id="15" w:name="_Toc256000005"/>
      <w:r>
        <w:rPr>
          <w:u w:color="auto"/>
        </w:rPr>
        <w:t>1.过程管理</w:t>
      </w:r>
      <w:bookmarkEnd w:id="15"/>
    </w:p>
    <w:p>
      <w:pPr>
        <w:pStyle w:val="Heading2"/>
        <w:jc w:val="left"/>
      </w:pPr>
      <w:bookmarkStart w:id="16" w:name="_Toc256000006"/>
      <w:r>
        <w:rPr>
          <w:u w:color="auto"/>
        </w:rPr>
        <w:t>1.1任务书</w:t>
      </w:r>
      <w:bookmarkEnd w:id="16"/>
    </w:p>
    <w:p>
      <w:pPr>
        <w:pStyle w:val="Heading3"/>
        <w:jc w:val="left"/>
      </w:pPr>
      <w:bookmarkStart w:id="17" w:name="_Toc256000007"/>
      <w:r>
        <w:rPr>
          <w:u w:color="auto"/>
        </w:rPr>
        <w:t>1.1.1审核任务书</w:t>
      </w:r>
      <w:bookmarkEnd w:id="17"/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点击左侧菜单进入“过程管理”—“任务书”—“审核任务书”页面。</w:t>
      </w:r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点击“审核”按钮，可跳转审核详情界面——选择通过或不通过，填写审核意见后点击“确定”。</w:t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647700"/>
            <wp:docPr id="761349574" name="Drawing 1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349574" name="Picture 1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600325"/>
            <wp:docPr id="606926940" name="Drawing 2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926940" name="Picture 2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3171825"/>
            <wp:docPr id="250360939" name="Drawing 3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360939" name="Picture 3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  <w:jc w:val="left"/>
      </w:pPr>
      <w:bookmarkStart w:id="18" w:name="_Toc256000008"/>
      <w:r>
        <w:rPr>
          <w:u w:color="auto"/>
        </w:rPr>
        <w:t>1.2开题报告</w:t>
      </w:r>
      <w:bookmarkEnd w:id="18"/>
    </w:p>
    <w:p>
      <w:pPr>
        <w:pStyle w:val="Heading3"/>
        <w:jc w:val="left"/>
      </w:pPr>
      <w:bookmarkStart w:id="19" w:name="_Toc256000009"/>
      <w:r>
        <w:rPr>
          <w:u w:color="auto"/>
        </w:rPr>
        <w:t>1.2.1审核开题报告</w:t>
      </w:r>
      <w:bookmarkEnd w:id="19"/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点击左侧菜单进入“过程管理”—“开题报告”—“审核开题报告”页面。</w:t>
      </w:r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点击“审核”按钮，进入审核详情页面，可查看填写的开题报告信息，并进行审核意见以及审核通过与不通过的选择后，点击“确定”审核完成。</w:t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609600"/>
            <wp:docPr id="4" name="Drawing 4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590800"/>
            <wp:docPr id="5" name="Drawing 5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3105150"/>
            <wp:docPr id="6" name="Drawing 6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  <w:jc w:val="left"/>
      </w:pPr>
      <w:bookmarkStart w:id="20" w:name="_Toc256000010"/>
      <w:r>
        <w:rPr>
          <w:u w:color="auto"/>
        </w:rPr>
        <w:t>1.3中期检查</w:t>
      </w:r>
      <w:bookmarkEnd w:id="20"/>
    </w:p>
    <w:p>
      <w:pPr>
        <w:pStyle w:val="Heading3"/>
        <w:jc w:val="left"/>
      </w:pPr>
      <w:bookmarkStart w:id="21" w:name="_Toc256000011"/>
      <w:r>
        <w:rPr>
          <w:u w:color="auto"/>
        </w:rPr>
        <w:t>1.3.1审核中期检查</w:t>
      </w:r>
      <w:bookmarkEnd w:id="21"/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点击左侧菜单进入“过程管理”—“中期检查”—“审核中期检查”页面。</w:t>
      </w:r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点击“审核”按钮，在弹出页面中，可查看提交的中期检查信息，并进行审核意见以及审核通过与不通过的选择后，点击“确定”审核完成。</w:t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647700"/>
            <wp:docPr id="1583242900" name="Drawing 7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42900" name="Picture 7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581275"/>
            <wp:docPr id="1404150498" name="Drawing 8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50498" name="Picture 8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3257550"/>
            <wp:docPr id="9" name="Drawing 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jc w:val="left"/>
      </w:pPr>
      <w:bookmarkStart w:id="22" w:name="_Toc256000012"/>
      <w:r>
        <w:rPr>
          <w:u w:color="auto"/>
        </w:rPr>
        <w:t>2.评分管理</w:t>
      </w:r>
      <w:bookmarkEnd w:id="22"/>
    </w:p>
    <w:p>
      <w:pPr>
        <w:pStyle w:val="Heading2"/>
        <w:jc w:val="left"/>
      </w:pPr>
      <w:bookmarkStart w:id="23" w:name="_Toc256000013"/>
      <w:r>
        <w:rPr>
          <w:u w:color="auto"/>
        </w:rPr>
        <w:t>2.1总评</w:t>
      </w:r>
      <w:bookmarkEnd w:id="23"/>
    </w:p>
    <w:p>
      <w:pPr>
        <w:pStyle w:val="Heading3"/>
        <w:jc w:val="left"/>
      </w:pPr>
      <w:bookmarkStart w:id="24" w:name="_Toc256000014"/>
      <w:r>
        <w:rPr>
          <w:u w:color="auto"/>
        </w:rPr>
        <w:t>2.1.1查看总评成绩</w:t>
      </w:r>
      <w:bookmarkEnd w:id="24"/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第1步：选择左边菜单栏“评分管理”-“总评”——点击页面“更新总评成绩”按钮可以更新学生总评成绩；</w:t>
      </w:r>
    </w:p>
    <w:p>
      <w:pPr>
        <w:keepLines/>
        <w:ind w:firstLine="420" w:firstLineChars="200"/>
        <w:jc w:val="left"/>
      </w:pPr>
      <w:r>
        <w:rPr>
          <w:rFonts w:ascii="宋体" w:eastAsia="宋体" w:hAnsi="宋体" w:cs="宋体"/>
          <w:sz w:val="21"/>
          <w:u w:color="auto"/>
        </w:rPr>
        <w:t>第2步：确认总评无误后可点击“公布总评成绩”，公布后学生端可在首页查看成绩。</w:t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638175"/>
            <wp:docPr id="10" name="Drawing 10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924175"/>
            <wp:docPr id="11" name="Drawing 11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790825"/>
            <wp:docPr id="12" name="Drawing 12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240"/>
        <w:rPr>
          <w:rFonts w:ascii="Calibri" w:eastAsia="宋体" w:hAnsi="Calibri" w:cs="Times New Roman" w:hint="eastAsia"/>
          <w:lang w:val="en-US" w:eastAsia="zh-CN"/>
        </w:rPr>
      </w:pPr>
      <w:bookmarkStart w:id="25" w:name="_Toc8366"/>
      <w:bookmarkStart w:id="26" w:name="_Toc12738"/>
      <w:bookmarkStart w:id="27" w:name="_Toc256000015"/>
      <w:r>
        <w:rPr>
          <w:rFonts w:cs="Times New Roman" w:hint="eastAsia"/>
          <w:lang w:val="en-US" w:eastAsia="zh-CN"/>
        </w:rPr>
        <w:t>四</w:t>
      </w:r>
      <w:r>
        <w:rPr>
          <w:rFonts w:ascii="Calibri" w:eastAsia="宋体" w:hAnsi="Calibri" w:cs="Times New Roman" w:hint="eastAsia"/>
          <w:lang w:val="en-US" w:eastAsia="zh-CN"/>
        </w:rPr>
        <w:t>、下载中心</w:t>
      </w:r>
      <w:bookmarkEnd w:id="27"/>
      <w:bookmarkEnd w:id="25"/>
      <w:bookmarkEnd w:id="26"/>
    </w:p>
    <w:p>
      <w:pPr>
        <w:ind w:firstLine="420" w:firstLineChars="2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点击“下载中心”—“文件下载”，选中数据，点击”</w:t>
      </w:r>
      <w:r>
        <w:rPr>
          <w:rFonts w:ascii="宋体" w:hAnsi="宋体" w:cs="宋体" w:hint="eastAsia"/>
          <w:lang w:eastAsia="zh-CN"/>
        </w:rPr>
        <w:t>归档材料下载</w:t>
      </w:r>
      <w:r>
        <w:rPr>
          <w:rFonts w:ascii="宋体" w:hAnsi="宋体" w:cs="宋体" w:hint="eastAsia"/>
        </w:rPr>
        <w:t>“批量下载各个流程上传的文件。</w:t>
      </w:r>
    </w:p>
    <w:p>
      <w:r>
        <w:drawing>
          <wp:inline distT="0" distB="0" distL="114300" distR="114300">
            <wp:extent cx="5259070" cy="1564005"/>
            <wp:effectExtent l="0" t="0" r="24130" b="10795"/>
            <wp:docPr id="2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Heading1"/>
        <w:spacing w:before="240"/>
      </w:pPr>
      <w:bookmarkStart w:id="28" w:name="_Toc23080"/>
      <w:bookmarkStart w:id="29" w:name="_Toc32586"/>
      <w:bookmarkStart w:id="30" w:name="_Toc256000016"/>
      <w:r>
        <w:rPr>
          <w:rFonts w:hint="eastAsia"/>
          <w:lang w:val="en-US" w:eastAsia="zh-CN"/>
        </w:rPr>
        <w:t>五</w:t>
      </w:r>
      <w:r>
        <w:rPr>
          <w:rFonts w:hint="eastAsia"/>
        </w:rPr>
        <w:t>、消息管理</w:t>
      </w:r>
      <w:bookmarkEnd w:id="30"/>
      <w:bookmarkEnd w:id="28"/>
      <w:bookmarkEnd w:id="29"/>
    </w:p>
    <w:p>
      <w:pPr>
        <w:pStyle w:val="Heading2"/>
      </w:pPr>
      <w:bookmarkStart w:id="31" w:name="_Toc21113907"/>
      <w:bookmarkStart w:id="32" w:name="_Toc21967825"/>
      <w:bookmarkStart w:id="33" w:name="_Toc21506725"/>
      <w:bookmarkStart w:id="34" w:name="_Toc11588"/>
      <w:bookmarkStart w:id="35" w:name="_Toc5161"/>
      <w:bookmarkStart w:id="36" w:name="_Toc13523"/>
      <w:bookmarkStart w:id="37" w:name="_Toc21507034"/>
      <w:bookmarkStart w:id="38" w:name="_Toc1740308402_WPSOffice_Level3"/>
      <w:bookmarkStart w:id="39" w:name="_Toc15000"/>
      <w:bookmarkStart w:id="40" w:name="_Toc4888"/>
      <w:bookmarkStart w:id="41" w:name="_Toc14609"/>
      <w:bookmarkStart w:id="42" w:name="_Toc19779"/>
      <w:bookmarkStart w:id="43" w:name="_Toc256000017"/>
      <w:r>
        <w:rPr>
          <w:rFonts w:hint="eastAsia"/>
        </w:rPr>
        <w:t>1</w:t>
      </w:r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hint="eastAsia"/>
        </w:rPr>
        <w:t>、站内信</w:t>
      </w:r>
      <w:bookmarkEnd w:id="43"/>
      <w:bookmarkEnd w:id="38"/>
      <w:bookmarkEnd w:id="39"/>
      <w:bookmarkEnd w:id="40"/>
      <w:bookmarkEnd w:id="41"/>
      <w:bookmarkEnd w:id="42"/>
    </w:p>
    <w:p>
      <w:pPr>
        <w:spacing w:before="156" w:after="156"/>
        <w:ind w:firstLine="48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color w:val="FF0000"/>
        </w:rPr>
        <w:t>★</w:t>
      </w:r>
      <w:r>
        <w:rPr>
          <w:rFonts w:ascii="宋体" w:hAnsi="宋体" w:cs="宋体" w:hint="eastAsia"/>
          <w:color w:val="303030"/>
        </w:rPr>
        <w:t>第1步：</w:t>
      </w:r>
      <w:r>
        <w:rPr>
          <w:rFonts w:ascii="宋体" w:hAnsi="宋体" w:cs="宋体" w:hint="eastAsia"/>
        </w:rPr>
        <w:t>点击左侧菜单进入“消息管理”—“站内信”。可以进行站内信的查阅与发送。</w:t>
      </w:r>
      <w:r>
        <w:rPr>
          <w:rFonts w:ascii="宋体" w:hAnsi="宋体" w:cs="宋体"/>
        </w:rPr>
        <w:drawing>
          <wp:inline distT="0" distB="0" distL="114300" distR="114300">
            <wp:extent cx="5253990" cy="1426845"/>
            <wp:effectExtent l="0" t="0" r="3810" b="2095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44" w:name="_Toc636040274_WPSOffice_Level3"/>
      <w:bookmarkStart w:id="45" w:name="_Toc12655"/>
      <w:bookmarkStart w:id="46" w:name="_Toc14049"/>
      <w:bookmarkStart w:id="47" w:name="_Toc23918"/>
      <w:bookmarkStart w:id="48" w:name="_Toc10920"/>
      <w:bookmarkStart w:id="49" w:name="_Toc256000018"/>
      <w:r>
        <w:rPr>
          <w:rFonts w:hint="eastAsia"/>
        </w:rPr>
        <w:t>2、公告管理</w:t>
      </w:r>
      <w:bookmarkEnd w:id="49"/>
      <w:bookmarkEnd w:id="44"/>
      <w:bookmarkEnd w:id="45"/>
      <w:bookmarkEnd w:id="46"/>
      <w:bookmarkEnd w:id="47"/>
      <w:bookmarkEnd w:id="48"/>
    </w:p>
    <w:p>
      <w:pPr>
        <w:spacing w:before="120" w:after="120"/>
        <w:ind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FF0000"/>
        </w:rPr>
        <w:t>★</w:t>
      </w:r>
      <w:r>
        <w:rPr>
          <w:rFonts w:ascii="宋体" w:hAnsi="宋体" w:cs="宋体" w:hint="eastAsia"/>
          <w:color w:val="303030"/>
        </w:rPr>
        <w:t>第1步：</w:t>
      </w:r>
      <w:r>
        <w:rPr>
          <w:rFonts w:ascii="宋体" w:hAnsi="宋体" w:cs="宋体" w:hint="eastAsia"/>
        </w:rPr>
        <w:t>点击左侧菜单进入“消息管理”—“公告管理”。可以查看学校学院发布公告内容。</w:t>
      </w:r>
    </w:p>
    <w:p>
      <w:pPr>
        <w:spacing w:before="120" w:after="120"/>
        <w:rPr>
          <w:rFonts w:ascii="宋体" w:hAnsi="宋体" w:cs="宋体"/>
        </w:rPr>
      </w:pPr>
      <w:r>
        <w:rPr>
          <w:rFonts w:ascii="宋体" w:hAnsi="宋体" w:cs="宋体"/>
        </w:rPr>
        <w:drawing>
          <wp:inline distT="0" distB="0" distL="114300" distR="114300">
            <wp:extent cx="5262245" cy="2000885"/>
            <wp:effectExtent l="0" t="0" r="20955" b="571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Heading3"/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F9679D"/>
    <w:multiLevelType w:val="multilevel"/>
    <w:tmpl w:val="31F9679D"/>
    <w:lvl w:ilvl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E02B0A"/>
    <w:rsid w:val="CE171D70"/>
    <w:rsid w:val="D7CDF66E"/>
    <w:rsid w:val="E7CA49CF"/>
    <w:rsid w:val="F7AF7F2A"/>
    <w:rsid w:val="F9FFD381"/>
    <w:rsid w:val="FDFED87C"/>
    <w:rsid w:val="FE7BB6CB"/>
    <w:rsid w:val="FEBB4D4C"/>
    <w:rsid w:val="FEFB5316"/>
    <w:rsid w:val="FF1FD1FC"/>
    <w:rsid w:val="FFC43CF4"/>
    <w:rsid w:val="00023261"/>
    <w:rsid w:val="000304D9"/>
    <w:rsid w:val="00041EC8"/>
    <w:rsid w:val="0004525E"/>
    <w:rsid w:val="00080EEA"/>
    <w:rsid w:val="000A2742"/>
    <w:rsid w:val="000D3AC7"/>
    <w:rsid w:val="00110281"/>
    <w:rsid w:val="0012640F"/>
    <w:rsid w:val="00134937"/>
    <w:rsid w:val="00164D25"/>
    <w:rsid w:val="00187198"/>
    <w:rsid w:val="001B13DD"/>
    <w:rsid w:val="001B2917"/>
    <w:rsid w:val="00215B72"/>
    <w:rsid w:val="00216D1F"/>
    <w:rsid w:val="00290F07"/>
    <w:rsid w:val="002C6CC8"/>
    <w:rsid w:val="002D20B5"/>
    <w:rsid w:val="002D3640"/>
    <w:rsid w:val="002E6342"/>
    <w:rsid w:val="002F0FB6"/>
    <w:rsid w:val="00321CED"/>
    <w:rsid w:val="00376A1B"/>
    <w:rsid w:val="00383167"/>
    <w:rsid w:val="00390E82"/>
    <w:rsid w:val="003C62A3"/>
    <w:rsid w:val="003D22B5"/>
    <w:rsid w:val="003D4710"/>
    <w:rsid w:val="003D705D"/>
    <w:rsid w:val="003F0796"/>
    <w:rsid w:val="003F75CF"/>
    <w:rsid w:val="0041323F"/>
    <w:rsid w:val="00441424"/>
    <w:rsid w:val="00441C9E"/>
    <w:rsid w:val="00454505"/>
    <w:rsid w:val="00486E97"/>
    <w:rsid w:val="00491A15"/>
    <w:rsid w:val="004952BE"/>
    <w:rsid w:val="004A24DF"/>
    <w:rsid w:val="004A42BE"/>
    <w:rsid w:val="004C5D4B"/>
    <w:rsid w:val="004D3A02"/>
    <w:rsid w:val="004D76B3"/>
    <w:rsid w:val="004E2611"/>
    <w:rsid w:val="004E639E"/>
    <w:rsid w:val="0050291F"/>
    <w:rsid w:val="00511ACF"/>
    <w:rsid w:val="005305D3"/>
    <w:rsid w:val="005501DF"/>
    <w:rsid w:val="00590BBF"/>
    <w:rsid w:val="005B35C4"/>
    <w:rsid w:val="005D3A65"/>
    <w:rsid w:val="005D7489"/>
    <w:rsid w:val="0066524E"/>
    <w:rsid w:val="00682F60"/>
    <w:rsid w:val="006842BB"/>
    <w:rsid w:val="0068767B"/>
    <w:rsid w:val="006F7953"/>
    <w:rsid w:val="00706E2C"/>
    <w:rsid w:val="00716B0A"/>
    <w:rsid w:val="007569B5"/>
    <w:rsid w:val="00762975"/>
    <w:rsid w:val="007751E2"/>
    <w:rsid w:val="00783B6A"/>
    <w:rsid w:val="00795459"/>
    <w:rsid w:val="007A3406"/>
    <w:rsid w:val="007A6906"/>
    <w:rsid w:val="008176BE"/>
    <w:rsid w:val="00832765"/>
    <w:rsid w:val="008352FC"/>
    <w:rsid w:val="0083608A"/>
    <w:rsid w:val="00857F26"/>
    <w:rsid w:val="008747B4"/>
    <w:rsid w:val="00896AD7"/>
    <w:rsid w:val="008B4D48"/>
    <w:rsid w:val="008C3852"/>
    <w:rsid w:val="008E0D78"/>
    <w:rsid w:val="008E7CD3"/>
    <w:rsid w:val="00906D40"/>
    <w:rsid w:val="00926973"/>
    <w:rsid w:val="00935E69"/>
    <w:rsid w:val="00962DD5"/>
    <w:rsid w:val="009666BC"/>
    <w:rsid w:val="00974BBE"/>
    <w:rsid w:val="009D4674"/>
    <w:rsid w:val="009D67F0"/>
    <w:rsid w:val="00A00EAF"/>
    <w:rsid w:val="00A77943"/>
    <w:rsid w:val="00A830CE"/>
    <w:rsid w:val="00A87F74"/>
    <w:rsid w:val="00AA4694"/>
    <w:rsid w:val="00AB3833"/>
    <w:rsid w:val="00AF1DED"/>
    <w:rsid w:val="00B55CCB"/>
    <w:rsid w:val="00B85A72"/>
    <w:rsid w:val="00C52741"/>
    <w:rsid w:val="00CA1238"/>
    <w:rsid w:val="00CB31A7"/>
    <w:rsid w:val="00CD7635"/>
    <w:rsid w:val="00CF2C04"/>
    <w:rsid w:val="00D52373"/>
    <w:rsid w:val="00D6218C"/>
    <w:rsid w:val="00D76EEB"/>
    <w:rsid w:val="00D804E6"/>
    <w:rsid w:val="00D9685B"/>
    <w:rsid w:val="00DC5E6F"/>
    <w:rsid w:val="00DC7FD4"/>
    <w:rsid w:val="00DD481A"/>
    <w:rsid w:val="00E00EA0"/>
    <w:rsid w:val="00E711C9"/>
    <w:rsid w:val="00E86084"/>
    <w:rsid w:val="00EC5FD3"/>
    <w:rsid w:val="00EE7696"/>
    <w:rsid w:val="00F1464A"/>
    <w:rsid w:val="00F62B24"/>
    <w:rsid w:val="00FA1A34"/>
    <w:rsid w:val="00FC2DEB"/>
    <w:rsid w:val="00FF22CE"/>
    <w:rsid w:val="017E0CD4"/>
    <w:rsid w:val="01910A08"/>
    <w:rsid w:val="01973B44"/>
    <w:rsid w:val="01A3073B"/>
    <w:rsid w:val="01AE15BA"/>
    <w:rsid w:val="01AF179F"/>
    <w:rsid w:val="01D32DCE"/>
    <w:rsid w:val="01FD609D"/>
    <w:rsid w:val="02182ED7"/>
    <w:rsid w:val="023C4E17"/>
    <w:rsid w:val="023F2212"/>
    <w:rsid w:val="024141DC"/>
    <w:rsid w:val="02427F54"/>
    <w:rsid w:val="02612B5C"/>
    <w:rsid w:val="02B20C36"/>
    <w:rsid w:val="02E42DB9"/>
    <w:rsid w:val="033E696D"/>
    <w:rsid w:val="034D095E"/>
    <w:rsid w:val="0361440A"/>
    <w:rsid w:val="03B60BF9"/>
    <w:rsid w:val="03C274DB"/>
    <w:rsid w:val="03F82FC0"/>
    <w:rsid w:val="042F62B6"/>
    <w:rsid w:val="044B7594"/>
    <w:rsid w:val="044C6E68"/>
    <w:rsid w:val="047C599F"/>
    <w:rsid w:val="047F0FEB"/>
    <w:rsid w:val="052A53FB"/>
    <w:rsid w:val="05452235"/>
    <w:rsid w:val="05544226"/>
    <w:rsid w:val="06087AF2"/>
    <w:rsid w:val="061B11E8"/>
    <w:rsid w:val="062E0F1B"/>
    <w:rsid w:val="06654211"/>
    <w:rsid w:val="067B1C86"/>
    <w:rsid w:val="06B6300F"/>
    <w:rsid w:val="06BA4485"/>
    <w:rsid w:val="06DE46EF"/>
    <w:rsid w:val="06FC2DC7"/>
    <w:rsid w:val="074A1D85"/>
    <w:rsid w:val="078132CC"/>
    <w:rsid w:val="07866B35"/>
    <w:rsid w:val="07B7538F"/>
    <w:rsid w:val="07D21D7A"/>
    <w:rsid w:val="07FB6BDB"/>
    <w:rsid w:val="08060514"/>
    <w:rsid w:val="08381BDD"/>
    <w:rsid w:val="08624EAC"/>
    <w:rsid w:val="087B5F6E"/>
    <w:rsid w:val="088A7F5F"/>
    <w:rsid w:val="08F875BE"/>
    <w:rsid w:val="091A7535"/>
    <w:rsid w:val="094445B2"/>
    <w:rsid w:val="0969226A"/>
    <w:rsid w:val="09B434E5"/>
    <w:rsid w:val="09B72FD5"/>
    <w:rsid w:val="09DC2A3C"/>
    <w:rsid w:val="09F528BA"/>
    <w:rsid w:val="0A310FDA"/>
    <w:rsid w:val="0A9652E1"/>
    <w:rsid w:val="0AC0235E"/>
    <w:rsid w:val="0B7C44D7"/>
    <w:rsid w:val="0BF16C73"/>
    <w:rsid w:val="0C2B68DC"/>
    <w:rsid w:val="0C825B1D"/>
    <w:rsid w:val="0CDB347F"/>
    <w:rsid w:val="0CE045F1"/>
    <w:rsid w:val="0D240982"/>
    <w:rsid w:val="0D9F26FE"/>
    <w:rsid w:val="0DB241E0"/>
    <w:rsid w:val="0DE14AC5"/>
    <w:rsid w:val="0DFE5677"/>
    <w:rsid w:val="0E0B1B42"/>
    <w:rsid w:val="0EC817E1"/>
    <w:rsid w:val="0EE20AF5"/>
    <w:rsid w:val="0F052A35"/>
    <w:rsid w:val="0F307AB2"/>
    <w:rsid w:val="0F3D21CF"/>
    <w:rsid w:val="0F5D461F"/>
    <w:rsid w:val="0FE16FFE"/>
    <w:rsid w:val="1002449F"/>
    <w:rsid w:val="108C5BB3"/>
    <w:rsid w:val="10B93AD7"/>
    <w:rsid w:val="10BD35C7"/>
    <w:rsid w:val="10F13271"/>
    <w:rsid w:val="11000BEA"/>
    <w:rsid w:val="11186A50"/>
    <w:rsid w:val="11203B56"/>
    <w:rsid w:val="11252F1A"/>
    <w:rsid w:val="112E0021"/>
    <w:rsid w:val="11951E4E"/>
    <w:rsid w:val="11BD75F7"/>
    <w:rsid w:val="11E44B84"/>
    <w:rsid w:val="12323B41"/>
    <w:rsid w:val="12661A3D"/>
    <w:rsid w:val="12802AFE"/>
    <w:rsid w:val="13225964"/>
    <w:rsid w:val="13B30CB1"/>
    <w:rsid w:val="13B62550"/>
    <w:rsid w:val="13C7650B"/>
    <w:rsid w:val="13E26EA1"/>
    <w:rsid w:val="14643D5A"/>
    <w:rsid w:val="14C173FE"/>
    <w:rsid w:val="14C50C9C"/>
    <w:rsid w:val="14C64A14"/>
    <w:rsid w:val="151D2886"/>
    <w:rsid w:val="15B12FCF"/>
    <w:rsid w:val="15C56A7A"/>
    <w:rsid w:val="15FA0CD7"/>
    <w:rsid w:val="169C3C7F"/>
    <w:rsid w:val="169F551D"/>
    <w:rsid w:val="16A11295"/>
    <w:rsid w:val="16F5338F"/>
    <w:rsid w:val="17544559"/>
    <w:rsid w:val="177C13BA"/>
    <w:rsid w:val="17F81389"/>
    <w:rsid w:val="17FF6273"/>
    <w:rsid w:val="18407477"/>
    <w:rsid w:val="18583BD5"/>
    <w:rsid w:val="186D58D3"/>
    <w:rsid w:val="18834126"/>
    <w:rsid w:val="189F1804"/>
    <w:rsid w:val="18A24E51"/>
    <w:rsid w:val="18D314AE"/>
    <w:rsid w:val="18F002B2"/>
    <w:rsid w:val="18FA2EDF"/>
    <w:rsid w:val="19063631"/>
    <w:rsid w:val="191A70DD"/>
    <w:rsid w:val="193957B5"/>
    <w:rsid w:val="193E726F"/>
    <w:rsid w:val="19614D0C"/>
    <w:rsid w:val="19A277FE"/>
    <w:rsid w:val="19B117EF"/>
    <w:rsid w:val="19B337B9"/>
    <w:rsid w:val="19C332D1"/>
    <w:rsid w:val="19C534ED"/>
    <w:rsid w:val="19C77265"/>
    <w:rsid w:val="19F31E08"/>
    <w:rsid w:val="1A6745A4"/>
    <w:rsid w:val="1AAE21D3"/>
    <w:rsid w:val="1AD27C6F"/>
    <w:rsid w:val="1ADA6B24"/>
    <w:rsid w:val="1AF5395E"/>
    <w:rsid w:val="1AFA71C6"/>
    <w:rsid w:val="1B252495"/>
    <w:rsid w:val="1B373F76"/>
    <w:rsid w:val="1B395F40"/>
    <w:rsid w:val="1BAA0BEC"/>
    <w:rsid w:val="1BC25F36"/>
    <w:rsid w:val="1BE22134"/>
    <w:rsid w:val="1C0227D6"/>
    <w:rsid w:val="1C69015F"/>
    <w:rsid w:val="1CD6156D"/>
    <w:rsid w:val="1E032835"/>
    <w:rsid w:val="1E114F52"/>
    <w:rsid w:val="1E2527AC"/>
    <w:rsid w:val="1E8F5E77"/>
    <w:rsid w:val="1EB63404"/>
    <w:rsid w:val="1EBB4EBE"/>
    <w:rsid w:val="1ECB5101"/>
    <w:rsid w:val="1F29296D"/>
    <w:rsid w:val="1F69491A"/>
    <w:rsid w:val="1FC009DE"/>
    <w:rsid w:val="1FE3647B"/>
    <w:rsid w:val="20112FE8"/>
    <w:rsid w:val="20337402"/>
    <w:rsid w:val="20384A18"/>
    <w:rsid w:val="20517888"/>
    <w:rsid w:val="20AC0F62"/>
    <w:rsid w:val="20BE47F2"/>
    <w:rsid w:val="21350F58"/>
    <w:rsid w:val="21731A80"/>
    <w:rsid w:val="21B55BF5"/>
    <w:rsid w:val="21C83B7A"/>
    <w:rsid w:val="2268710B"/>
    <w:rsid w:val="228A7081"/>
    <w:rsid w:val="22BA3F45"/>
    <w:rsid w:val="22CA1B74"/>
    <w:rsid w:val="22D64075"/>
    <w:rsid w:val="22E91FFA"/>
    <w:rsid w:val="235C0A1E"/>
    <w:rsid w:val="236B6EB3"/>
    <w:rsid w:val="23AD1279"/>
    <w:rsid w:val="23B95E70"/>
    <w:rsid w:val="24480FA2"/>
    <w:rsid w:val="2452748C"/>
    <w:rsid w:val="245A2A83"/>
    <w:rsid w:val="246851A0"/>
    <w:rsid w:val="249146F7"/>
    <w:rsid w:val="249917FE"/>
    <w:rsid w:val="24DB0068"/>
    <w:rsid w:val="25302162"/>
    <w:rsid w:val="253357AE"/>
    <w:rsid w:val="258949F8"/>
    <w:rsid w:val="25D80104"/>
    <w:rsid w:val="2628108B"/>
    <w:rsid w:val="26712A32"/>
    <w:rsid w:val="267C13D7"/>
    <w:rsid w:val="26C1503C"/>
    <w:rsid w:val="26F92A28"/>
    <w:rsid w:val="26FE1DEC"/>
    <w:rsid w:val="272F1FA5"/>
    <w:rsid w:val="275F6D2E"/>
    <w:rsid w:val="277125BE"/>
    <w:rsid w:val="279664C8"/>
    <w:rsid w:val="27BF157B"/>
    <w:rsid w:val="27D33279"/>
    <w:rsid w:val="27ED6B9C"/>
    <w:rsid w:val="27F51441"/>
    <w:rsid w:val="28304227"/>
    <w:rsid w:val="283755B5"/>
    <w:rsid w:val="2858591E"/>
    <w:rsid w:val="288400CF"/>
    <w:rsid w:val="28A569C3"/>
    <w:rsid w:val="28CD7CC8"/>
    <w:rsid w:val="28EA087A"/>
    <w:rsid w:val="290F6532"/>
    <w:rsid w:val="291678C1"/>
    <w:rsid w:val="29345F99"/>
    <w:rsid w:val="29543F45"/>
    <w:rsid w:val="296A3769"/>
    <w:rsid w:val="299F1664"/>
    <w:rsid w:val="29E03A2B"/>
    <w:rsid w:val="2A102562"/>
    <w:rsid w:val="2AA64C74"/>
    <w:rsid w:val="2AB56C65"/>
    <w:rsid w:val="2AEB3C5A"/>
    <w:rsid w:val="2AEC6B2B"/>
    <w:rsid w:val="2B011EAB"/>
    <w:rsid w:val="2B193698"/>
    <w:rsid w:val="2B536BAA"/>
    <w:rsid w:val="2B6366C1"/>
    <w:rsid w:val="2B876854"/>
    <w:rsid w:val="2C3562B0"/>
    <w:rsid w:val="2C633EB8"/>
    <w:rsid w:val="2C673F8F"/>
    <w:rsid w:val="2C7E7C57"/>
    <w:rsid w:val="2CCF04B2"/>
    <w:rsid w:val="2D1E0AF2"/>
    <w:rsid w:val="2D256324"/>
    <w:rsid w:val="2D285E15"/>
    <w:rsid w:val="2D652BC5"/>
    <w:rsid w:val="2D9139BA"/>
    <w:rsid w:val="2D9D410D"/>
    <w:rsid w:val="2E1122DB"/>
    <w:rsid w:val="2E3507E9"/>
    <w:rsid w:val="2EB21E3A"/>
    <w:rsid w:val="2EBD433B"/>
    <w:rsid w:val="2F300FB0"/>
    <w:rsid w:val="2F3C7955"/>
    <w:rsid w:val="2F522CD5"/>
    <w:rsid w:val="2F7B66D0"/>
    <w:rsid w:val="2F837A4C"/>
    <w:rsid w:val="2F9A71B5"/>
    <w:rsid w:val="2FDD2EE6"/>
    <w:rsid w:val="2FEF2C1A"/>
    <w:rsid w:val="30406FD1"/>
    <w:rsid w:val="304312C5"/>
    <w:rsid w:val="30C95219"/>
    <w:rsid w:val="30E81B43"/>
    <w:rsid w:val="3135465C"/>
    <w:rsid w:val="313A6116"/>
    <w:rsid w:val="3148438F"/>
    <w:rsid w:val="314E571E"/>
    <w:rsid w:val="31701B38"/>
    <w:rsid w:val="31C003CA"/>
    <w:rsid w:val="320E7B77"/>
    <w:rsid w:val="325F4087"/>
    <w:rsid w:val="32713DBA"/>
    <w:rsid w:val="332B5D17"/>
    <w:rsid w:val="33977850"/>
    <w:rsid w:val="33D740F0"/>
    <w:rsid w:val="342842DC"/>
    <w:rsid w:val="342E1F62"/>
    <w:rsid w:val="344829C9"/>
    <w:rsid w:val="34790D04"/>
    <w:rsid w:val="34AE30A3"/>
    <w:rsid w:val="350E769E"/>
    <w:rsid w:val="3550415A"/>
    <w:rsid w:val="358D2CB9"/>
    <w:rsid w:val="35E548A3"/>
    <w:rsid w:val="35EB79DF"/>
    <w:rsid w:val="35F25212"/>
    <w:rsid w:val="35F92264"/>
    <w:rsid w:val="36317AE8"/>
    <w:rsid w:val="363B0967"/>
    <w:rsid w:val="36996E83"/>
    <w:rsid w:val="36D36DF1"/>
    <w:rsid w:val="36F34D9D"/>
    <w:rsid w:val="37427AD3"/>
    <w:rsid w:val="379C3687"/>
    <w:rsid w:val="38194CD8"/>
    <w:rsid w:val="388C36FB"/>
    <w:rsid w:val="38B60778"/>
    <w:rsid w:val="38BF587F"/>
    <w:rsid w:val="38CC3AF8"/>
    <w:rsid w:val="38FB262F"/>
    <w:rsid w:val="3902576C"/>
    <w:rsid w:val="391D07F7"/>
    <w:rsid w:val="39203E44"/>
    <w:rsid w:val="39534219"/>
    <w:rsid w:val="39663F4D"/>
    <w:rsid w:val="39C46EC5"/>
    <w:rsid w:val="39E11825"/>
    <w:rsid w:val="39FF0CD8"/>
    <w:rsid w:val="3A175247"/>
    <w:rsid w:val="3A2D05C6"/>
    <w:rsid w:val="3A2F07E2"/>
    <w:rsid w:val="3A3000B7"/>
    <w:rsid w:val="3A63223A"/>
    <w:rsid w:val="3A8328DC"/>
    <w:rsid w:val="3A856654"/>
    <w:rsid w:val="3A9C574C"/>
    <w:rsid w:val="3A9E3272"/>
    <w:rsid w:val="3AD76784"/>
    <w:rsid w:val="3ADE5D64"/>
    <w:rsid w:val="3AEA295B"/>
    <w:rsid w:val="3B457B92"/>
    <w:rsid w:val="3B53405D"/>
    <w:rsid w:val="3BAC5E63"/>
    <w:rsid w:val="3BCC2061"/>
    <w:rsid w:val="3BF82E56"/>
    <w:rsid w:val="3BFF41E4"/>
    <w:rsid w:val="3BFF5F92"/>
    <w:rsid w:val="3C526A0A"/>
    <w:rsid w:val="3C5462DE"/>
    <w:rsid w:val="3C577B7C"/>
    <w:rsid w:val="3C7F70D3"/>
    <w:rsid w:val="3CAA4150"/>
    <w:rsid w:val="3CF63839"/>
    <w:rsid w:val="3D12278C"/>
    <w:rsid w:val="3D136199"/>
    <w:rsid w:val="3D6E1622"/>
    <w:rsid w:val="3D711112"/>
    <w:rsid w:val="3D74475E"/>
    <w:rsid w:val="3D9F527F"/>
    <w:rsid w:val="3DB86D41"/>
    <w:rsid w:val="3DEA7081"/>
    <w:rsid w:val="3E154DA9"/>
    <w:rsid w:val="3E546A69"/>
    <w:rsid w:val="3E7E3AE6"/>
    <w:rsid w:val="3EC3774B"/>
    <w:rsid w:val="3ED23E32"/>
    <w:rsid w:val="3EE01103"/>
    <w:rsid w:val="3EE651E8"/>
    <w:rsid w:val="3FC217B1"/>
    <w:rsid w:val="3FE652DA"/>
    <w:rsid w:val="401C35B7"/>
    <w:rsid w:val="403501D5"/>
    <w:rsid w:val="40BE641C"/>
    <w:rsid w:val="40D07EFD"/>
    <w:rsid w:val="41232723"/>
    <w:rsid w:val="41AA4BF2"/>
    <w:rsid w:val="41B255C8"/>
    <w:rsid w:val="41D41C6F"/>
    <w:rsid w:val="42165DE4"/>
    <w:rsid w:val="426B4382"/>
    <w:rsid w:val="426D634C"/>
    <w:rsid w:val="42755200"/>
    <w:rsid w:val="42A81132"/>
    <w:rsid w:val="42C341BE"/>
    <w:rsid w:val="42D00689"/>
    <w:rsid w:val="43192030"/>
    <w:rsid w:val="431F6F1A"/>
    <w:rsid w:val="43B41D58"/>
    <w:rsid w:val="43B9736F"/>
    <w:rsid w:val="43CA332A"/>
    <w:rsid w:val="440E1469"/>
    <w:rsid w:val="441822E7"/>
    <w:rsid w:val="44185E43"/>
    <w:rsid w:val="442E1B0B"/>
    <w:rsid w:val="444E3F5B"/>
    <w:rsid w:val="4464552C"/>
    <w:rsid w:val="446B68BB"/>
    <w:rsid w:val="44A26055"/>
    <w:rsid w:val="44E272A8"/>
    <w:rsid w:val="44EF3FD1"/>
    <w:rsid w:val="457C0654"/>
    <w:rsid w:val="45B55914"/>
    <w:rsid w:val="45C2075D"/>
    <w:rsid w:val="464473C4"/>
    <w:rsid w:val="469D2F78"/>
    <w:rsid w:val="46DA1AD6"/>
    <w:rsid w:val="46FC1A4C"/>
    <w:rsid w:val="47190850"/>
    <w:rsid w:val="47721D0E"/>
    <w:rsid w:val="47BF7590"/>
    <w:rsid w:val="47EF335F"/>
    <w:rsid w:val="487D6BBD"/>
    <w:rsid w:val="490B5F77"/>
    <w:rsid w:val="49736367"/>
    <w:rsid w:val="49C66341"/>
    <w:rsid w:val="49DB1DED"/>
    <w:rsid w:val="49FE5ADB"/>
    <w:rsid w:val="4A0155CC"/>
    <w:rsid w:val="4AA448D5"/>
    <w:rsid w:val="4B1732F9"/>
    <w:rsid w:val="4BA3693A"/>
    <w:rsid w:val="4BC93EC7"/>
    <w:rsid w:val="4BD50ABE"/>
    <w:rsid w:val="4BEA27BB"/>
    <w:rsid w:val="4C147838"/>
    <w:rsid w:val="4C6521D2"/>
    <w:rsid w:val="4C786019"/>
    <w:rsid w:val="4D4E28D6"/>
    <w:rsid w:val="4D722A68"/>
    <w:rsid w:val="4DAF7C6A"/>
    <w:rsid w:val="4E451F2B"/>
    <w:rsid w:val="4E775E5C"/>
    <w:rsid w:val="4E994025"/>
    <w:rsid w:val="4EEF633A"/>
    <w:rsid w:val="4F2E6E63"/>
    <w:rsid w:val="4F322AC9"/>
    <w:rsid w:val="4FA709C3"/>
    <w:rsid w:val="4FD5531F"/>
    <w:rsid w:val="4FDC68BF"/>
    <w:rsid w:val="501F0559"/>
    <w:rsid w:val="50354221"/>
    <w:rsid w:val="5038161B"/>
    <w:rsid w:val="50C01D3C"/>
    <w:rsid w:val="50D8235D"/>
    <w:rsid w:val="51423EF1"/>
    <w:rsid w:val="51450494"/>
    <w:rsid w:val="51491D32"/>
    <w:rsid w:val="5156444F"/>
    <w:rsid w:val="51AC0513"/>
    <w:rsid w:val="51C413B8"/>
    <w:rsid w:val="51ED5BEA"/>
    <w:rsid w:val="52021EE1"/>
    <w:rsid w:val="522E0F28"/>
    <w:rsid w:val="522E717A"/>
    <w:rsid w:val="52416EAD"/>
    <w:rsid w:val="52A336C4"/>
    <w:rsid w:val="52F67C97"/>
    <w:rsid w:val="53146370"/>
    <w:rsid w:val="53486019"/>
    <w:rsid w:val="5349426B"/>
    <w:rsid w:val="5380105E"/>
    <w:rsid w:val="538F3C48"/>
    <w:rsid w:val="539574B0"/>
    <w:rsid w:val="53A771E4"/>
    <w:rsid w:val="53CC6C4A"/>
    <w:rsid w:val="53EE096F"/>
    <w:rsid w:val="53FF492A"/>
    <w:rsid w:val="544762D1"/>
    <w:rsid w:val="54505185"/>
    <w:rsid w:val="545253A1"/>
    <w:rsid w:val="5495703C"/>
    <w:rsid w:val="54992FD0"/>
    <w:rsid w:val="54D9161F"/>
    <w:rsid w:val="54F46459"/>
    <w:rsid w:val="552C5BF2"/>
    <w:rsid w:val="552C79A0"/>
    <w:rsid w:val="55425416"/>
    <w:rsid w:val="55570796"/>
    <w:rsid w:val="55807CEC"/>
    <w:rsid w:val="55B87486"/>
    <w:rsid w:val="561C5C67"/>
    <w:rsid w:val="5621327D"/>
    <w:rsid w:val="56486A5C"/>
    <w:rsid w:val="56867584"/>
    <w:rsid w:val="56A17F1A"/>
    <w:rsid w:val="57560D05"/>
    <w:rsid w:val="57684EDC"/>
    <w:rsid w:val="57727B09"/>
    <w:rsid w:val="578A30A4"/>
    <w:rsid w:val="57A557E8"/>
    <w:rsid w:val="58044C05"/>
    <w:rsid w:val="580C3AB9"/>
    <w:rsid w:val="58177813"/>
    <w:rsid w:val="582E3A30"/>
    <w:rsid w:val="584E5E80"/>
    <w:rsid w:val="58977827"/>
    <w:rsid w:val="58D97E3F"/>
    <w:rsid w:val="59034EBC"/>
    <w:rsid w:val="591946E0"/>
    <w:rsid w:val="593E4146"/>
    <w:rsid w:val="59417793"/>
    <w:rsid w:val="59441031"/>
    <w:rsid w:val="594B0611"/>
    <w:rsid w:val="59561490"/>
    <w:rsid w:val="599124C8"/>
    <w:rsid w:val="59C06909"/>
    <w:rsid w:val="59E20F76"/>
    <w:rsid w:val="59FA62BF"/>
    <w:rsid w:val="5AB75F5E"/>
    <w:rsid w:val="5B953DC6"/>
    <w:rsid w:val="5C076A71"/>
    <w:rsid w:val="5C2C297C"/>
    <w:rsid w:val="5C45759A"/>
    <w:rsid w:val="5C593045"/>
    <w:rsid w:val="5C700ABB"/>
    <w:rsid w:val="5CDF354A"/>
    <w:rsid w:val="5D0C00B7"/>
    <w:rsid w:val="5D83481E"/>
    <w:rsid w:val="5D9663F4"/>
    <w:rsid w:val="5DBB3FB7"/>
    <w:rsid w:val="5E135BA1"/>
    <w:rsid w:val="5E1E4546"/>
    <w:rsid w:val="5E2356B9"/>
    <w:rsid w:val="5E5D6E1D"/>
    <w:rsid w:val="5E710B1A"/>
    <w:rsid w:val="5EBF3633"/>
    <w:rsid w:val="5EFE2B01"/>
    <w:rsid w:val="5F1576F7"/>
    <w:rsid w:val="5FC81A4F"/>
    <w:rsid w:val="5FE02B0A"/>
    <w:rsid w:val="5FE1701C"/>
    <w:rsid w:val="5FEB66AA"/>
    <w:rsid w:val="5FFB68ED"/>
    <w:rsid w:val="60340051"/>
    <w:rsid w:val="60453C66"/>
    <w:rsid w:val="607246D5"/>
    <w:rsid w:val="60793CB6"/>
    <w:rsid w:val="614E0C9F"/>
    <w:rsid w:val="616E1341"/>
    <w:rsid w:val="61B50D1E"/>
    <w:rsid w:val="623B56C7"/>
    <w:rsid w:val="628958C8"/>
    <w:rsid w:val="62D358FF"/>
    <w:rsid w:val="63611187"/>
    <w:rsid w:val="63ED29F1"/>
    <w:rsid w:val="63F9195E"/>
    <w:rsid w:val="642F4DB7"/>
    <w:rsid w:val="647E7AED"/>
    <w:rsid w:val="64AA6B34"/>
    <w:rsid w:val="64AD2180"/>
    <w:rsid w:val="64E060B2"/>
    <w:rsid w:val="65077AE2"/>
    <w:rsid w:val="651B60C2"/>
    <w:rsid w:val="656A1E1F"/>
    <w:rsid w:val="65775586"/>
    <w:rsid w:val="65FC6F1B"/>
    <w:rsid w:val="65FF8136"/>
    <w:rsid w:val="66546D57"/>
    <w:rsid w:val="66903B07"/>
    <w:rsid w:val="66AF21DF"/>
    <w:rsid w:val="66BD3B89"/>
    <w:rsid w:val="66FD65EC"/>
    <w:rsid w:val="671D539B"/>
    <w:rsid w:val="67931B01"/>
    <w:rsid w:val="679F04A6"/>
    <w:rsid w:val="67AE693B"/>
    <w:rsid w:val="67C1666E"/>
    <w:rsid w:val="67FF0F45"/>
    <w:rsid w:val="682E35D8"/>
    <w:rsid w:val="683706DE"/>
    <w:rsid w:val="68541290"/>
    <w:rsid w:val="689E250C"/>
    <w:rsid w:val="68C06926"/>
    <w:rsid w:val="69252C2D"/>
    <w:rsid w:val="69603C65"/>
    <w:rsid w:val="69796AD5"/>
    <w:rsid w:val="69961435"/>
    <w:rsid w:val="69A55B1C"/>
    <w:rsid w:val="69D41F5D"/>
    <w:rsid w:val="69DB32EB"/>
    <w:rsid w:val="6A0942FC"/>
    <w:rsid w:val="6A1D4C73"/>
    <w:rsid w:val="6A4E1D0F"/>
    <w:rsid w:val="6ACD532A"/>
    <w:rsid w:val="6AEA7C8A"/>
    <w:rsid w:val="6B1E7934"/>
    <w:rsid w:val="6B347157"/>
    <w:rsid w:val="6B874A80"/>
    <w:rsid w:val="6B881251"/>
    <w:rsid w:val="6BB362CE"/>
    <w:rsid w:val="6BF07522"/>
    <w:rsid w:val="6C264CF2"/>
    <w:rsid w:val="6C3513D9"/>
    <w:rsid w:val="6C6121CE"/>
    <w:rsid w:val="6D3E42BD"/>
    <w:rsid w:val="6D940381"/>
    <w:rsid w:val="6DBB590E"/>
    <w:rsid w:val="6DE50BDD"/>
    <w:rsid w:val="6DE62B47"/>
    <w:rsid w:val="6E182D60"/>
    <w:rsid w:val="6E3D6323"/>
    <w:rsid w:val="6E4F6056"/>
    <w:rsid w:val="6EC32CCC"/>
    <w:rsid w:val="6ECE1671"/>
    <w:rsid w:val="6EE175F6"/>
    <w:rsid w:val="6F6822D7"/>
    <w:rsid w:val="6F833042"/>
    <w:rsid w:val="6F9E7295"/>
    <w:rsid w:val="6FA80114"/>
    <w:rsid w:val="6FC0720B"/>
    <w:rsid w:val="704B11CB"/>
    <w:rsid w:val="705C7751"/>
    <w:rsid w:val="70FA499F"/>
    <w:rsid w:val="711517D9"/>
    <w:rsid w:val="712776CC"/>
    <w:rsid w:val="71341C5F"/>
    <w:rsid w:val="715B3690"/>
    <w:rsid w:val="71BC7EA6"/>
    <w:rsid w:val="71F15DA2"/>
    <w:rsid w:val="7218332F"/>
    <w:rsid w:val="72421725"/>
    <w:rsid w:val="726F4F19"/>
    <w:rsid w:val="72BD7A32"/>
    <w:rsid w:val="72D8486C"/>
    <w:rsid w:val="72EE22E1"/>
    <w:rsid w:val="72F13B80"/>
    <w:rsid w:val="72FA5CB5"/>
    <w:rsid w:val="72FF004B"/>
    <w:rsid w:val="735465E8"/>
    <w:rsid w:val="73993FFB"/>
    <w:rsid w:val="73C60B68"/>
    <w:rsid w:val="742F4960"/>
    <w:rsid w:val="745368A0"/>
    <w:rsid w:val="74620891"/>
    <w:rsid w:val="74F160B9"/>
    <w:rsid w:val="758E56B6"/>
    <w:rsid w:val="75C31803"/>
    <w:rsid w:val="75D51537"/>
    <w:rsid w:val="75DC4673"/>
    <w:rsid w:val="76360227"/>
    <w:rsid w:val="76465F91"/>
    <w:rsid w:val="766C3C49"/>
    <w:rsid w:val="76854D0B"/>
    <w:rsid w:val="768A0573"/>
    <w:rsid w:val="772207AC"/>
    <w:rsid w:val="7730111A"/>
    <w:rsid w:val="773C7ABF"/>
    <w:rsid w:val="775F555C"/>
    <w:rsid w:val="7772528F"/>
    <w:rsid w:val="77901BB9"/>
    <w:rsid w:val="77A43A6B"/>
    <w:rsid w:val="77E617D9"/>
    <w:rsid w:val="77EFFCF2"/>
    <w:rsid w:val="780D4FB8"/>
    <w:rsid w:val="782347DB"/>
    <w:rsid w:val="78280044"/>
    <w:rsid w:val="78680440"/>
    <w:rsid w:val="789E20B4"/>
    <w:rsid w:val="78A0407E"/>
    <w:rsid w:val="78A7540C"/>
    <w:rsid w:val="78AD18CD"/>
    <w:rsid w:val="78DD498A"/>
    <w:rsid w:val="78E71CAD"/>
    <w:rsid w:val="7924080B"/>
    <w:rsid w:val="796926C2"/>
    <w:rsid w:val="797C218B"/>
    <w:rsid w:val="79A731EA"/>
    <w:rsid w:val="79EB1329"/>
    <w:rsid w:val="7A123DB6"/>
    <w:rsid w:val="7A6B246A"/>
    <w:rsid w:val="7A8552D9"/>
    <w:rsid w:val="7ACC2F08"/>
    <w:rsid w:val="7B114DBF"/>
    <w:rsid w:val="7B4E6013"/>
    <w:rsid w:val="7B580C40"/>
    <w:rsid w:val="7B7A2964"/>
    <w:rsid w:val="7B803CF3"/>
    <w:rsid w:val="7BEECF46"/>
    <w:rsid w:val="7BF704C2"/>
    <w:rsid w:val="7C0B0F2B"/>
    <w:rsid w:val="7C945CA8"/>
    <w:rsid w:val="7CBA20AA"/>
    <w:rsid w:val="7D884CF3"/>
    <w:rsid w:val="7DC2087C"/>
    <w:rsid w:val="7E4454AB"/>
    <w:rsid w:val="7EA128FE"/>
    <w:rsid w:val="7EFF776B"/>
    <w:rsid w:val="7F337154"/>
    <w:rsid w:val="7FA97CBC"/>
    <w:rsid w:val="7FED152D"/>
    <w:rsid w:val="7FFD7E66"/>
  </w:rsids>
  <w:docVars>
    <w:docVar w:name="commondata" w:val="eyJoZGlkIjoiZTNlZDc4M2JiODQzN2M3YWE2Y2FlYjM3ODI1OWQ5Njk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 w:qFormat="1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360" w:lineRule="auto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autoRedefine/>
    <w:qFormat/>
    <w:pPr>
      <w:keepNext/>
      <w:keepLines/>
      <w:outlineLvl w:val="1"/>
    </w:pPr>
    <w:rPr>
      <w:rFonts w:ascii="Cambria" w:eastAsia="宋体" w:hAnsi="Cambria" w:cs="Times New Roman"/>
      <w:b/>
      <w:bCs/>
      <w:color w:val="000000"/>
      <w:sz w:val="32"/>
      <w:szCs w:val="32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autoRedefine/>
    <w:semiHidden/>
    <w:qFormat/>
  </w:style>
  <w:style w:type="table" w:default="1" w:styleId="TableNormal">
    <w:name w:val="Normal Table"/>
    <w:autoRedefine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Char"/>
    <w:autoRedefine/>
    <w:qFormat/>
    <w:rPr>
      <w:rFonts w:ascii="宋体"/>
      <w:sz w:val="18"/>
      <w:szCs w:val="18"/>
    </w:rPr>
  </w:style>
  <w:style w:type="paragraph" w:styleId="Footer">
    <w:name w:val="footer"/>
    <w:basedOn w:val="Normal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qFormat/>
  </w:style>
  <w:style w:type="paragraph" w:styleId="TOC2">
    <w:name w:val="toc 2"/>
    <w:basedOn w:val="Normal"/>
    <w:next w:val="Normal"/>
    <w:autoRedefine/>
    <w:uiPriority w:val="39"/>
    <w:qFormat/>
    <w:pPr>
      <w:ind w:left="420" w:leftChars="200"/>
    </w:pPr>
  </w:style>
  <w:style w:type="paragraph" w:styleId="Title">
    <w:name w:val="Title"/>
    <w:basedOn w:val="Normal"/>
    <w:next w:val="Normal"/>
    <w:autoRedefine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customStyle="1" w:styleId="Char">
    <w:name w:val="文档结构图 Char"/>
    <w:basedOn w:val="DefaultParagraphFont"/>
    <w:link w:val="DocumentMap"/>
    <w:autoRedefine/>
    <w:qFormat/>
    <w:rPr>
      <w:rFonts w:ascii="宋体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autoRedefine/>
    <w:qFormat/>
    <w:rPr>
      <w:rFonts w:ascii="Calibri" w:hAnsi="Calibri"/>
      <w:kern w:val="2"/>
      <w:sz w:val="18"/>
      <w:szCs w:val="18"/>
    </w:rPr>
  </w:style>
  <w:style w:type="character" w:customStyle="1" w:styleId="Char1">
    <w:name w:val="页眉 Char"/>
    <w:basedOn w:val="DefaultParagraphFont"/>
    <w:link w:val="Header"/>
    <w:autoRedefine/>
    <w:rPr>
      <w:rFonts w:ascii="Calibri" w:hAnsi="Calibri"/>
      <w:kern w:val="2"/>
      <w:sz w:val="18"/>
      <w:szCs w:val="18"/>
    </w:rPr>
  </w:style>
  <w:style w:type="paragraph" w:customStyle="1" w:styleId="WPSOffice1">
    <w:name w:val="WPSOffice手动目录 1"/>
    <w:autoRedefine/>
    <w:qFormat/>
    <w:rPr>
      <w:rFonts w:ascii="Calibri" w:eastAsia="宋体" w:hAnsi="Calibri" w:cs="Times New Roman"/>
      <w:lang w:val="en-US" w:eastAsia="zh-CN" w:bidi="ar-SA"/>
    </w:rPr>
  </w:style>
  <w:style w:type="paragraph" w:customStyle="1" w:styleId="WPSOffice2">
    <w:name w:val="WPSOffice手动目录 2"/>
    <w:autoRedefine/>
    <w:qFormat/>
    <w:pPr>
      <w:ind w:leftChars="200"/>
    </w:pPr>
    <w:rPr>
      <w:rFonts w:ascii="Calibri" w:eastAsia="宋体" w:hAnsi="Calibri" w:cs="Times New Roman"/>
      <w:lang w:val="en-US" w:eastAsia="zh-CN" w:bidi="ar-SA"/>
    </w:rPr>
  </w:style>
  <w:style w:type="paragraph" w:styleId="TOC3">
    <w:name w:val="toc 3"/>
    <w:basedOn w:val="Normal"/>
    <w:next w:val="Normal"/>
    <w:autoRedefine/>
    <w:rsid w:val="00805BCE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2243</Words>
  <Characters>2315</Characters>
  <Application>Microsoft Office Word</Application>
  <DocSecurity>0</DocSecurity>
  <Lines>28</Lines>
  <Paragraphs>8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</cp:lastModifiedBy>
  <cp:revision>75</cp:revision>
  <dcterms:created xsi:type="dcterms:W3CDTF">2021-12-10T05:21:00Z</dcterms:created>
  <dcterms:modified xsi:type="dcterms:W3CDTF">2024-03-08T01:58:15Z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19458F01ECA3F2725F7B5C65FB2EE914_43</vt:lpwstr>
  </property>
  <property fmtid="{D5CDD505-2E9C-101B-9397-08002B2CF9AE}" pid="3" name="KSOProductBuildVer">
    <vt:lpwstr>2052-12.1.0.16388</vt:lpwstr>
  </property>
</Properties>
</file>